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v:background id="_x0000_s1025" filled="t" fillcolor="white">
      <v:fill color2="white"/>
    </v:background>
  </w:background>
  <w:body>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580" w:lineRule="exact"/>
        <w:jc w:val="center"/>
        <w:rPr>
          <w:rFonts w:eastAsia="黑体"/>
          <w:w w:val="95"/>
          <w:sz w:val="44"/>
          <w:szCs w:val="44"/>
          <w:highlight w:val="none"/>
        </w:rPr>
      </w:pPr>
    </w:p>
    <w:p>
      <w:pPr>
        <w:divId w:val="0"/>
        <w:spacing w:line="240" w:lineRule="auto"/>
        <w:jc w:val="center"/>
        <w:rPr>
          <w:rFonts w:ascii="方正小标宋简体" w:eastAsia="方正小标宋简体" w:hAnsi="方正小标宋简体" w:cs="方正小标宋简体" w:hint="eastAsia"/>
          <w:sz w:val="48"/>
          <w:szCs w:val="48"/>
          <w:highlight w:val="none"/>
          <w:lang w:val="en-US" w:eastAsia="zh-CN"/>
        </w:rPr>
      </w:pPr>
      <w:r>
        <w:rPr>
          <w:rFonts w:ascii="方正小标宋简体" w:eastAsia="方正小标宋简体" w:hAnsi="方正小标宋简体" w:cs="方正小标宋简体" w:hint="eastAsia"/>
          <w:sz w:val="48"/>
          <w:szCs w:val="48"/>
          <w:highlight w:val="none"/>
          <w:lang w:val="en-US" w:eastAsia="zh-CN"/>
        </w:rPr>
        <w:t xml:space="preserve">天津市天津医院</w:t>
      </w:r>
    </w:p>
    <w:p>
      <w:pPr>
        <w:divId w:val="0"/>
        <w:spacing w:line="240" w:lineRule="auto"/>
        <w:jc w:val="center"/>
        <w:rPr>
          <w:rFonts w:ascii="方正小标宋简体" w:eastAsia="方正小标宋简体" w:hAnsi="方正小标宋简体" w:cs="方正小标宋简体" w:hint="eastAsia"/>
          <w:w w:val="95"/>
          <w:sz w:val="48"/>
          <w:szCs w:val="48"/>
          <w:highlight w:val="none"/>
        </w:rPr>
      </w:pPr>
      <w:r>
        <w:rPr>
          <w:rFonts w:ascii="方正小标宋简体" w:eastAsia="方正小标宋简体" w:hAnsi="方正小标宋简体" w:cs="方正小标宋简体" w:hint="eastAsia"/>
          <w:sz w:val="48"/>
          <w:szCs w:val="48"/>
          <w:highlight w:val="none"/>
          <w:lang w:eastAsia="zh-CN"/>
        </w:rPr>
        <w:t xml:space="preserve">202</w:t>
      </w:r>
      <w:r>
        <w:rPr>
          <w:rFonts w:ascii="方正小标宋简体" w:eastAsia="方正小标宋简体" w:hAnsi="方正小标宋简体" w:cs="方正小标宋简体" w:hint="eastAsia"/>
          <w:sz w:val="48"/>
          <w:szCs w:val="48"/>
          <w:highlight w:val="none"/>
          <w:lang w:val="en-US" w:eastAsia="zh-CN"/>
        </w:rPr>
        <w:t xml:space="preserve">5</w:t>
      </w:r>
      <w:r>
        <w:rPr>
          <w:rFonts w:ascii="方正小标宋简体" w:eastAsia="方正小标宋简体" w:hAnsi="方正小标宋简体" w:cs="方正小标宋简体" w:hint="eastAsia"/>
          <w:sz w:val="48"/>
          <w:szCs w:val="48"/>
          <w:highlight w:val="none"/>
        </w:rPr>
        <w:t xml:space="preserve">年度</w:t>
      </w:r>
      <w:r>
        <w:rPr>
          <w:rFonts w:ascii="方正小标宋简体" w:eastAsia="方正小标宋简体" w:hAnsi="方正小标宋简体" w:cs="方正小标宋简体" w:hint="eastAsia"/>
          <w:sz w:val="48"/>
          <w:szCs w:val="48"/>
          <w:highlight w:val="none"/>
          <w:lang w:val="en-US" w:eastAsia="zh-CN"/>
        </w:rPr>
        <w:t xml:space="preserve">单位</w:t>
      </w:r>
      <w:r>
        <w:rPr>
          <w:rFonts w:ascii="方正小标宋简体" w:eastAsia="方正小标宋简体" w:hAnsi="方正小标宋简体" w:cs="方正小标宋简体" w:hint="eastAsia"/>
          <w:sz w:val="48"/>
          <w:szCs w:val="48"/>
          <w:highlight w:val="none"/>
        </w:rPr>
        <w:t xml:space="preserve">决算</w:t>
      </w: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580" w:lineRule="exact"/>
        <w:jc w:val="center"/>
        <w:rPr>
          <w:rFonts w:ascii="黑体" w:eastAsia="黑体" w:hint="eastAsia"/>
          <w:sz w:val="30"/>
          <w:szCs w:val="30"/>
          <w:highlight w:val="none"/>
        </w:rPr>
      </w:pPr>
    </w:p>
    <w:p>
      <w:pPr>
        <w:divId w:val="0"/>
        <w:spacing w:line="600" w:lineRule="exact"/>
        <w:jc w:val="center"/>
        <w:rPr>
          <w:rFonts w:ascii="黑体" w:eastAsia="黑体" w:hint="eastAsia"/>
          <w:sz w:val="44"/>
          <w:szCs w:val="44"/>
          <w:highlight w:val="none"/>
        </w:rPr>
        <w:sectPr>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p>
    <w:p>
      <w:pPr>
        <w:divId w:val="0"/>
        <w:spacing w:line="600" w:lineRule="exact"/>
        <w:jc w:val="center"/>
        <w:rPr>
          <w:rFonts w:ascii="黑体" w:eastAsia="黑体" w:hint="eastAsia"/>
          <w:sz w:val="44"/>
          <w:szCs w:val="44"/>
          <w:highlight w:val="none"/>
        </w:rPr>
      </w:pPr>
    </w:p>
    <w:p>
      <w:pPr>
        <w:divId w:val="0"/>
        <w:spacing w:line="600" w:lineRule="exact"/>
        <w:jc w:val="center"/>
        <w:rPr>
          <w:rFonts w:ascii="黑体" w:eastAsia="黑体" w:hint="eastAsia"/>
          <w:sz w:val="44"/>
          <w:szCs w:val="44"/>
          <w:highlight w:val="none"/>
        </w:rPr>
      </w:pPr>
      <w:r>
        <w:rPr>
          <w:rFonts w:ascii="黑体" w:eastAsia="黑体" w:hint="eastAsia"/>
          <w:sz w:val="44"/>
          <w:szCs w:val="44"/>
          <w:highlight w:val="none"/>
        </w:rPr>
        <w:t xml:space="preserve">目</w:t>
      </w:r>
      <w:r>
        <w:rPr>
          <w:rFonts w:ascii="黑体" w:eastAsia="黑体" w:hint="eastAsia"/>
          <w:sz w:val="44"/>
          <w:szCs w:val="44"/>
          <w:highlight w:val="none"/>
        </w:rPr>
        <w:t xml:space="preserve">  </w:t>
      </w:r>
      <w:r>
        <w:rPr>
          <w:rFonts w:ascii="黑体" w:eastAsia="黑体" w:hint="eastAsia"/>
          <w:sz w:val="44"/>
          <w:szCs w:val="44"/>
          <w:highlight w:val="none"/>
        </w:rPr>
        <w:t xml:space="preserve"> </w:t>
      </w:r>
      <w:r>
        <w:rPr>
          <w:rFonts w:ascii="黑体" w:eastAsia="黑体" w:hint="eastAsia"/>
          <w:sz w:val="44"/>
          <w:szCs w:val="44"/>
          <w:highlight w:val="none"/>
        </w:rPr>
        <w:t xml:space="preserve">录</w:t>
      </w:r>
    </w:p>
    <w:p>
      <w:pPr>
        <w:divId w:val="0"/>
        <w:spacing w:line="600" w:lineRule="exact"/>
        <w:rPr>
          <w:rFonts w:ascii="黑体" w:eastAsia="黑体" w:hint="eastAsia"/>
          <w:sz w:val="30"/>
          <w:szCs w:val="30"/>
          <w:highlight w:val="none"/>
        </w:rPr>
      </w:pP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TOC \o "1-3" \h \z \u</w:instrText>
      </w:r>
      <w:r>
        <w:rPr>
          <w:rFonts w:ascii="仿宋" w:eastAsia="仿宋" w:hAnsi="仿宋" w:cs="仿宋"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第一部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概</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况</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default"/>
          <w:sz w:val="30"/>
          <w:szCs w:val="30"/>
          <w:highlight w:val="none"/>
          <w:lang w:val="en-US" w:eastAsia="zh-CN"/>
        </w:rPr>
        <w:fldChar w:fldCharType="begin"/>
      </w:r>
      <w:r>
        <w:rPr>
          <w:rFonts w:ascii="Times New Roman" w:eastAsia="方正小标宋简体" w:hAnsi="Times New Roman" w:cs="Times New Roman" w:hint="default"/>
          <w:sz w:val="30"/>
          <w:szCs w:val="30"/>
          <w:highlight w:val="none"/>
          <w:lang w:val="en-US" w:eastAsia="zh-CN"/>
        </w:rPr>
        <w:instrText xml:space="preserve"> PAGEREF _Toc544 \h </w:instrText>
      </w:r>
      <w:r>
        <w:rPr>
          <w:rFonts w:ascii="Times New Roman" w:eastAsia="方正小标宋简体" w:hAnsi="Times New Roman" w:cs="Times New Roman" w:hint="default"/>
          <w:sz w:val="30"/>
          <w:szCs w:val="30"/>
          <w:highlight w:val="none"/>
          <w:lang w:val="en-US" w:eastAsia="zh-CN"/>
        </w:rPr>
        <w:fldChar w:fldCharType="separate"/>
      </w:r>
      <w:r>
        <w:rPr>
          <w:rFonts w:ascii="Times New Roman" w:eastAsia="方正小标宋简体" w:hAnsi="Times New Roman" w:cs="Times New Roman" w:hint="default"/>
          <w:sz w:val="30"/>
          <w:szCs w:val="30"/>
          <w:highlight w:val="none"/>
          <w:lang w:val="en-US" w:eastAsia="zh-CN"/>
        </w:rPr>
        <w:t xml:space="preserve">1</w:t>
      </w:r>
      <w:r>
        <w:rPr>
          <w:rFonts w:ascii="Times New Roman" w:eastAsia="方正小标宋简体" w:hAnsi="Times New Roman" w:cs="Times New Roman" w:hint="default"/>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一、主要职责</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_Toc31533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方正小标宋简体" w:eastAsia="方正小标宋简体" w:hAnsi="方正小标宋简体" w:cs="方正小标宋简体"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二、机构设置</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_Toc31383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第二部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_Toc24540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_Toc23540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二、《收入决算表（按功能分类列示）》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_Toc8357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4</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三、《收入决算表（按单位列示）》</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_Toc12692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_Toc1008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五、《财政拨款收入支出决算总表》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_Toc22229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_Toc13290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11</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七、《一般公共预算财政拨款基本支出决算表》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_Toc16463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八、《政府性基金预算财政拨款收入支出决算表》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_Toc360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九、《国有资本经营预算财政拨款收入支出决算表》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_Toc22450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_Toc25280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18</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十一、《项目支出决算表》</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_Toc18372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19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rPr>
          <w:rFonts w:ascii="方正小标宋简体" w:eastAsia="方正小标宋简体" w:hAnsi="方正小标宋简体" w:cs="方正小标宋简体" w:hint="eastAsia"/>
          <w:sz w:val="30"/>
          <w:szCs w:val="30"/>
          <w:highlight w:val="none"/>
          <w:lang w:val="en-US" w:eastAsia="zh-CN"/>
        </w:rPr>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第三部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202</w:t>
      </w:r>
      <w:r>
        <w:rPr>
          <w:rFonts w:ascii="方正小标宋简体" w:eastAsia="方正小标宋简体" w:hAnsi="方正小标宋简体" w:cs="方正小标宋简体" w:hint="eastAsia"/>
          <w:sz w:val="30"/>
          <w:szCs w:val="30"/>
          <w:highlight w:val="none"/>
          <w:lang w:val="en-US" w:eastAsia="zh-CN"/>
        </w:rPr>
        <w:t xml:space="preserve">5</w:t>
      </w:r>
      <w:r>
        <w:rPr>
          <w:rFonts w:ascii="方正小标宋简体" w:eastAsia="方正小标宋简体" w:hAnsi="方正小标宋简体" w:cs="方正小标宋简体" w:hint="eastAsia"/>
          <w:sz w:val="30"/>
          <w:szCs w:val="30"/>
          <w:highlight w:val="none"/>
          <w:lang w:val="en-US" w:eastAsia="zh-CN"/>
        </w:rPr>
        <w:t xml:space="preserve">年度单位决算情况说明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_Toc13918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一、收入支出决算总体情况说明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_Toc16656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二、收入决算情况说明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_Toc20266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三、支出决算情况说明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_Toc17730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22</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四、财政拨款收支决算总体情况说明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_Toc16631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五、一般公共预算财政拨款支出决算情况说明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_Toc13902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23</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六、一般公共预算财政拨款基本支出决算情况说明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_Toc21908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七、政府性基金预算财政拨款收支决算情况说明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_Toc4044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26</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八、国有资本经营预算财政拨款收支决算情况说明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_Toc5943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九、财政拨</w:t>
      </w:r>
      <w:r>
        <w:rPr>
          <w:rFonts w:ascii="仿宋" w:eastAsia="仿宋" w:hAnsi="仿宋" w:cs="仿宋" w:hint="eastAsia"/>
          <w:sz w:val="30"/>
          <w:szCs w:val="30"/>
          <w:highlight w:val="none"/>
          <w:lang w:val="en-US" w:eastAsia="zh-CN"/>
        </w:rPr>
        <w:t xml:space="preserve">款</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三</w:t>
      </w:r>
      <w:r>
        <w:rPr>
          <w:rFonts w:ascii="仿宋" w:eastAsia="仿宋" w:hAnsi="仿宋" w:cs="仿宋" w:hint="eastAsia"/>
          <w:sz w:val="30"/>
          <w:szCs w:val="30"/>
          <w:highlight w:val="none"/>
          <w:lang w:val="en-US" w:eastAsia="zh-CN"/>
        </w:rPr>
        <w:t xml:space="preserve">公</w:t>
      </w:r>
      <w:r>
        <w:rPr>
          <w:rFonts w:ascii="仿宋" w:eastAsia="仿宋" w:hAnsi="仿宋" w:cs="仿宋" w:hint="eastAsia"/>
          <w:sz w:val="30"/>
          <w:szCs w:val="30"/>
          <w:highlight w:val="none"/>
          <w:lang w:val="en-US" w:eastAsia="zh-CN"/>
        </w:rPr>
        <w:t xml:space="preserve">”</w:t>
      </w:r>
      <w:r>
        <w:rPr>
          <w:rFonts w:ascii="仿宋" w:eastAsia="仿宋" w:hAnsi="仿宋" w:cs="仿宋" w:hint="eastAsia"/>
          <w:sz w:val="30"/>
          <w:szCs w:val="30"/>
          <w:highlight w:val="none"/>
          <w:lang w:val="en-US" w:eastAsia="zh-CN"/>
        </w:rPr>
        <w:t xml:space="preserve">经费支出决算情况说明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_Toc9262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27</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十、机关运行经费支出情况说明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_Toc850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十一、政府采购支出情况说明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_Toc17600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十二、国有资产占有使用情况说明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_Toc20762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十三、预算绩效情况说明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_Toc12945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ind w:left="0" w:firstLine="240" w:leftChars="0" w:firstLineChars="80"/>
        <w:rPr>
          <w:rFonts w:ascii="仿宋" w:eastAsia="仿宋" w:hAnsi="仿宋" w:cs="仿宋" w:hint="eastAsia"/>
          <w:sz w:val="30"/>
          <w:szCs w:val="30"/>
          <w:highlight w:val="none"/>
          <w:lang w:val="en-US" w:eastAsia="zh-CN"/>
        </w:rPr>
      </w:pPr>
      <w:r>
        <w:rPr>
          <w:rFonts w:ascii="仿宋" w:eastAsia="仿宋" w:hAnsi="仿宋" w:cs="仿宋" w:hint="eastAsia"/>
          <w:sz w:val="30"/>
          <w:szCs w:val="30"/>
          <w:highlight w:val="none"/>
          <w:lang w:val="en-US" w:eastAsia="zh-CN"/>
        </w:rPr>
        <w:fldChar w:fldCharType="begin"/>
      </w:r>
      <w:r>
        <w:rPr>
          <w:rFonts w:ascii="仿宋" w:eastAsia="仿宋" w:hAnsi="仿宋" w:cs="仿宋" w:hint="eastAsia"/>
          <w:sz w:val="30"/>
          <w:szCs w:val="30"/>
          <w:highlight w:val="none"/>
          <w:lang w:val="en-US" w:eastAsia="zh-CN"/>
        </w:rPr>
        <w:instrText xml:space="preserve"> HYPERLINK   \l " "</w:instrText>
      </w:r>
      <w:r>
        <w:rPr>
          <w:rFonts w:ascii="仿宋" w:eastAsia="仿宋" w:hAnsi="仿宋" w:cs="仿宋" w:hint="eastAsia"/>
          <w:sz w:val="30"/>
          <w:szCs w:val="30"/>
          <w:highlight w:val="none"/>
          <w:lang w:val="en-US" w:eastAsia="zh-CN"/>
        </w:rPr>
        <w:fldChar w:fldCharType="separate"/>
      </w:r>
      <w:r>
        <w:rPr>
          <w:rFonts w:ascii="仿宋" w:eastAsia="仿宋" w:hAnsi="仿宋" w:cs="仿宋" w:hint="eastAsia"/>
          <w:sz w:val="30"/>
          <w:szCs w:val="30"/>
          <w:highlight w:val="none"/>
          <w:lang w:val="en-US" w:eastAsia="zh-CN"/>
        </w:rPr>
        <w:t xml:space="preserve">十四、教育、医疗卫生、社会保障和就业、住房保障、涉农补贴等民生支出情况说明</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_Toc20809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29</w:t>
      </w:r>
      <w:r>
        <w:rPr>
          <w:rFonts w:ascii="Times New Roman" w:eastAsia="方正小标宋简体" w:hAnsi="Times New Roman" w:cs="Times New Roman" w:hint="eastAsia"/>
          <w:sz w:val="30"/>
          <w:szCs w:val="30"/>
          <w:highlight w:val="none"/>
          <w:lang w:val="en-US" w:eastAsia="zh-CN"/>
        </w:rPr>
        <w:fldChar w:fldCharType="end"/>
      </w:r>
      <w:r>
        <w:rPr>
          <w:rFonts w:ascii="仿宋" w:eastAsia="仿宋" w:hAnsi="仿宋" w:cs="仿宋" w:hint="eastAsia"/>
          <w:sz w:val="30"/>
          <w:szCs w:val="30"/>
          <w:highlight w:val="none"/>
          <w:lang w:val="en-US" w:eastAsia="zh-CN"/>
        </w:rPr>
        <w:fldChar w:fldCharType="end"/>
      </w:r>
    </w:p>
    <w:p>
      <w:pPr>
        <w:pStyle w:val="目录1"/>
        <w:tabs>
          <w:tab w:val="clear" w:pos="8296"/>
          <w:tab w:val="right" w:leader="dot" w:pos="8306"/>
        </w:tabs>
      </w:pPr>
      <w:r>
        <w:rPr>
          <w:rFonts w:ascii="方正小标宋简体" w:eastAsia="方正小标宋简体" w:hAnsi="方正小标宋简体" w:cs="方正小标宋简体" w:hint="eastAsia"/>
          <w:sz w:val="30"/>
          <w:szCs w:val="30"/>
          <w:highlight w:val="none"/>
          <w:lang w:val="en-US" w:eastAsia="zh-CN"/>
        </w:rPr>
        <w:fldChar w:fldCharType="begin"/>
      </w:r>
      <w:r>
        <w:rPr>
          <w:rFonts w:ascii="方正小标宋简体" w:eastAsia="方正小标宋简体" w:hAnsi="方正小标宋简体" w:cs="方正小标宋简体" w:hint="eastAsia"/>
          <w:sz w:val="30"/>
          <w:szCs w:val="30"/>
          <w:highlight w:val="none"/>
          <w:lang w:val="en-US" w:eastAsia="zh-CN"/>
        </w:rPr>
        <w:instrText xml:space="preserve"> HYPERLINK   \l " "</w:instrText>
      </w:r>
      <w:r>
        <w:rPr>
          <w:rFonts w:ascii="方正小标宋简体" w:eastAsia="方正小标宋简体" w:hAnsi="方正小标宋简体" w:cs="方正小标宋简体" w:hint="eastAsia"/>
          <w:sz w:val="30"/>
          <w:szCs w:val="30"/>
          <w:highlight w:val="none"/>
          <w:lang w:val="en-US" w:eastAsia="zh-CN"/>
        </w:rPr>
        <w:fldChar w:fldCharType="separate"/>
      </w:r>
      <w:r>
        <w:rPr>
          <w:rFonts w:ascii="方正小标宋简体" w:eastAsia="方正小标宋简体" w:hAnsi="方正小标宋简体" w:cs="方正小标宋简体" w:hint="eastAsia"/>
          <w:sz w:val="30"/>
          <w:szCs w:val="30"/>
          <w:highlight w:val="none"/>
          <w:lang w:val="en-US" w:eastAsia="zh-CN"/>
        </w:rPr>
        <w:t xml:space="preserve">第四部</w:t>
      </w:r>
      <w:r>
        <w:rPr>
          <w:rFonts w:ascii="方正小标宋简体" w:eastAsia="方正小标宋简体" w:hAnsi="方正小标宋简体" w:cs="方正小标宋简体" w:hint="eastAsia"/>
          <w:sz w:val="30"/>
          <w:szCs w:val="30"/>
          <w:highlight w:val="none"/>
          <w:lang w:val="en-US" w:eastAsia="zh-CN"/>
        </w:rPr>
        <w:t xml:space="preserve">分</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 </w:t>
      </w:r>
      <w:r>
        <w:rPr>
          <w:rFonts w:ascii="方正小标宋简体" w:eastAsia="方正小标宋简体" w:hAnsi="方正小标宋简体" w:cs="方正小标宋简体" w:hint="eastAsia"/>
          <w:sz w:val="30"/>
          <w:szCs w:val="30"/>
          <w:highlight w:val="none"/>
          <w:lang w:val="en-US" w:eastAsia="zh-CN"/>
        </w:rPr>
        <w:t xml:space="preserve">名词解释</w:t>
      </w:r>
      <w:r>
        <w:rPr>
          <w:rFonts w:ascii="仿宋" w:eastAsia="仿宋" w:hAnsi="仿宋" w:cs="仿宋" w:hint="eastAsia"/>
          <w:sz w:val="30"/>
          <w:szCs w:val="30"/>
          <w:highlight w:val="none"/>
          <w:lang w:val="en-US" w:eastAsia="zh-CN"/>
        </w:rPr>
        <w:tab/>
      </w:r>
      <w:r>
        <w:rPr>
          <w:rFonts w:ascii="Times New Roman" w:eastAsia="方正小标宋简体" w:hAnsi="Times New Roman" w:cs="Times New Roman" w:hint="eastAsia"/>
          <w:sz w:val="30"/>
          <w:szCs w:val="30"/>
          <w:highlight w:val="none"/>
          <w:lang w:val="en-US" w:eastAsia="zh-CN"/>
        </w:rPr>
        <w:fldChar w:fldCharType="begin"/>
      </w:r>
      <w:r>
        <w:rPr>
          <w:rFonts w:ascii="Times New Roman" w:eastAsia="方正小标宋简体" w:hAnsi="Times New Roman" w:cs="Times New Roman" w:hint="eastAsia"/>
          <w:sz w:val="30"/>
          <w:szCs w:val="30"/>
          <w:highlight w:val="none"/>
          <w:lang w:val="en-US" w:eastAsia="zh-CN"/>
        </w:rPr>
        <w:instrText xml:space="preserve"> PAGEREF _Toc26550 \h </w:instrText>
      </w:r>
      <w:r>
        <w:rPr>
          <w:rFonts w:ascii="Times New Roman" w:eastAsia="方正小标宋简体" w:hAnsi="Times New Roman" w:cs="Times New Roman" w:hint="eastAsia"/>
          <w:sz w:val="30"/>
          <w:szCs w:val="30"/>
          <w:highlight w:val="none"/>
          <w:lang w:val="en-US" w:eastAsia="zh-CN"/>
        </w:rPr>
        <w:fldChar w:fldCharType="separate"/>
      </w:r>
      <w:r>
        <w:rPr>
          <w:rFonts w:ascii="Times New Roman" w:eastAsia="方正小标宋简体" w:hAnsi="Times New Roman" w:cs="Times New Roman" w:hint="eastAsia"/>
          <w:sz w:val="30"/>
          <w:szCs w:val="30"/>
          <w:highlight w:val="none"/>
          <w:lang w:val="en-US" w:eastAsia="zh-CN"/>
        </w:rPr>
        <w:t xml:space="preserve">31</w:t>
      </w:r>
      <w:r>
        <w:rPr>
          <w:rFonts w:ascii="Times New Roman" w:eastAsia="方正小标宋简体" w:hAnsi="Times New Roman" w:cs="Times New Roman" w:hint="eastAsia"/>
          <w:sz w:val="30"/>
          <w:szCs w:val="30"/>
          <w:highlight w:val="none"/>
          <w:lang w:val="en-US" w:eastAsia="zh-CN"/>
        </w:rPr>
        <w:fldChar w:fldCharType="end"/>
      </w:r>
      <w:r>
        <w:rPr>
          <w:rFonts w:ascii="方正小标宋简体" w:eastAsia="方正小标宋简体" w:hAnsi="方正小标宋简体" w:cs="方正小标宋简体" w:hint="eastAsia"/>
          <w:sz w:val="30"/>
          <w:szCs w:val="30"/>
          <w:highlight w:val="none"/>
          <w:lang w:val="en-US" w:eastAsia="zh-CN"/>
        </w:rPr>
        <w:fldChar w:fldCharType="end"/>
      </w:r>
    </w:p>
    <w:p>
      <w:pPr>
        <w:pStyle w:val="目录1"/>
        <w:tabs>
          <w:tab w:val="clear" w:pos="8296"/>
          <w:tab w:val="right" w:leader="dot" w:pos="8306"/>
        </w:tabs>
        <w:rPr>
          <w:rFonts w:ascii="Times New Roman" w:eastAsia="方正仿宋_GB2312" w:hAnsi="Times New Roman"/>
          <w:sz w:val="32"/>
          <w:szCs w:val="32"/>
          <w:highlight w:val="none"/>
        </w:rPr>
        <w:sectPr>
          <w:footerReference w:type="default" r:id="rId4"/>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sectPr>
      </w:pPr>
      <w:r>
        <w:rPr>
          <w:rFonts w:ascii="仿宋" w:eastAsia="仿宋" w:hAnsi="仿宋" w:cs="仿宋" w:hint="eastAsia"/>
          <w:szCs w:val="30"/>
          <w:highlight w:val="none"/>
          <w:lang w:val="en-US" w:eastAsia="zh-CN"/>
        </w:rPr>
        <w:fldChar w:fldCharType="end"/>
      </w:r>
    </w:p>
    <w:p>
      <w:pPr>
        <w:rPr>
          <w:rFonts w:hint="eastAsia"/>
          <w:highlight w:val="none"/>
        </w:rPr>
      </w:pP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0" w:name="_Toc544"/>
      <w:r>
        <w:rPr>
          <w:rFonts w:ascii="方正小标宋简体" w:eastAsia="方正小标宋简体" w:hAnsi="方正小标宋简体" w:cs="方正小标宋简体" w:hint="eastAsia"/>
          <w:b w:val="0"/>
          <w:lang w:val="en-US" w:eastAsia="zh-CN"/>
        </w:rPr>
        <w:t xml:space="preserve">第一部分  概 况</w:t>
      </w:r>
      <w:bookmarkEnd w:id="0"/>
    </w:p>
    <w:p>
      <w:pPr>
        <w:divId w:val="0"/>
        <w:spacing w:line="600" w:lineRule="exact"/>
        <w:rPr>
          <w:rFonts w:hint="eastAsia"/>
          <w:highlight w:val="none"/>
        </w:rPr>
      </w:pPr>
    </w:p>
    <w:p>
      <w:pPr>
        <w:pStyle w:val="标题2"/>
        <w:wordWrap w:val="0"/>
        <w:spacing w:before="0" w:after="0" w:line="800" w:lineRule="exact"/>
        <w:ind w:firstLine="600" w:firstLineChars="200"/>
        <w:rPr>
          <w:rFonts w:ascii="黑体" w:eastAsia="黑体" w:hAnsi="黑体" w:hint="eastAsia"/>
          <w:b w:val="0"/>
          <w:bCs w:val="0"/>
          <w:sz w:val="30"/>
          <w:szCs w:val="30"/>
          <w:highlight w:val="none"/>
        </w:rPr>
      </w:pPr>
      <w:bookmarkStart w:id="1" w:name="_Toc31533"/>
      <w:r>
        <w:rPr>
          <w:rFonts w:ascii="黑体" w:eastAsia="黑体" w:hAnsi="黑体" w:hint="eastAsia"/>
          <w:sz w:val="30"/>
          <w:szCs w:val="30"/>
          <w:lang w:val="en-US" w:eastAsia="zh-CN"/>
        </w:rPr>
        <w:t xml:space="preserve">一、主要职责</w:t>
      </w:r>
      <w:bookmarkEnd w:id="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的主要职责是</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天津医院（简称天津医院）隶属于天津市卫生健康委员会，由原天津医院与天和医院合并组成，在保持两院原有学科优势、学科特色的基础上，实现优势互补，形成以骨科、创伤急救、血管外科、老年医学、康复医学等学科为特色，集医疗、教学、科研、康复、预防保健为一体，学科齐全的大型现代化三级甲等综合性医院和区域医疗中心。天津医院现有河西、和平两个院区，编制床位2070张，总建筑面积21万平方米</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黑体" w:eastAsia="黑体" w:hAnsi="黑体" w:hint="eastAsia"/>
          <w:b w:val="0"/>
          <w:bCs w:val="0"/>
          <w:sz w:val="30"/>
          <w:szCs w:val="30"/>
          <w:highlight w:val="none"/>
        </w:rPr>
      </w:pPr>
      <w:bookmarkStart w:id="2" w:name="_Toc31383"/>
      <w:r>
        <w:rPr>
          <w:rFonts w:ascii="黑体" w:eastAsia="黑体" w:hAnsi="黑体" w:hint="eastAsia"/>
          <w:sz w:val="30"/>
          <w:szCs w:val="30"/>
          <w:lang w:val="en-US" w:eastAsia="zh-CN"/>
        </w:rPr>
        <w:t xml:space="preserve">二、机构设置</w:t>
      </w:r>
      <w:bookmarkEnd w:id="2"/>
    </w:p>
    <w:p>
      <w:pPr>
        <w:divId w:val="0"/>
        <w:spacing w:line="600" w:lineRule="exact"/>
        <w:ind w:firstLine="600"/>
        <w:rPr>
          <w:rFonts w:eastAsia="方正仿宋_GB2312" w:hint="eastAsia"/>
          <w:sz w:val="30"/>
          <w:szCs w:val="30"/>
          <w:highlight w:val="none"/>
          <w:lang w:val="en-US" w:eastAsia="zh-CN"/>
        </w:rPr>
      </w:pPr>
      <w:r>
        <w:rPr>
          <w:rFonts w:eastAsia="仿宋_GB2312" w:hint="eastAsia"/>
          <w:sz w:val="30"/>
          <w:szCs w:val="30"/>
          <w:highlight w:val="none"/>
          <w:lang w:val="en-US" w:eastAsia="zh-CN"/>
        </w:rPr>
        <w:t xml:space="preserve">纳</w:t>
      </w:r>
      <w:r>
        <w:rPr>
          <w:rFonts w:eastAsia="仿宋_GB2312" w:hint="eastAsia"/>
          <w:sz w:val="30"/>
          <w:szCs w:val="30"/>
          <w:highlight w:val="none"/>
          <w:lang w:val="en-US" w:eastAsia="zh-CN"/>
        </w:rPr>
        <w:t xml:space="preserve">入</w:t>
      </w: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年度单位决算编制范围的单位包括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天津市天津医院（本级）预算单位共1个。</w:t>
      </w:r>
    </w:p>
    <w:p>
      <w:pPr>
        <w:divId w:val="0"/>
        <w:spacing w:line="600" w:lineRule="exact"/>
        <w:rPr>
          <w:rFonts w:eastAsia="方正楷体_GB2312" w:hint="eastAsia"/>
          <w:b/>
          <w:sz w:val="30"/>
          <w:szCs w:val="30"/>
          <w:highlight w:val="none"/>
        </w:rPr>
      </w:pPr>
      <w:r>
        <w:rPr>
          <w:rFonts w:eastAsia="方正楷体_GB2312"/>
          <w:b/>
          <w:sz w:val="30"/>
          <w:szCs w:val="30"/>
          <w:highlight w:val="none"/>
        </w:rPr>
        <w:br w:type="page"/>
      </w: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p>
    <w:p>
      <w:pPr>
        <w:pStyle w:val="标题1"/>
        <w:wordWrap w:val="0"/>
        <w:spacing w:before="0" w:after="0" w:line="600" w:lineRule="exact"/>
        <w:jc w:val="center"/>
        <w:rPr>
          <w:rFonts w:ascii="方正小标宋简体" w:eastAsia="方正小标宋简体" w:hAnsi="方正小标宋简体" w:cs="方正小标宋简体" w:hint="eastAsia"/>
          <w:b w:val="0"/>
          <w:bCs w:val="0"/>
          <w:lang w:val="en-US" w:eastAsia="zh-CN"/>
        </w:rPr>
      </w:pPr>
      <w:bookmarkStart w:id="3" w:name="_Toc24540"/>
      <w:r>
        <w:rPr>
          <w:rFonts w:ascii="方正小标宋简体" w:eastAsia="方正小标宋简体" w:hAnsi="方正小标宋简体" w:cs="方正小标宋简体" w:hint="eastAsia"/>
          <w:b w:val="0"/>
          <w:bCs w:val="0"/>
          <w:lang w:val="en-US" w:eastAsia="zh-CN"/>
        </w:rPr>
        <w:t xml:space="preserve">第二部分  2025年度单位决算表</w:t>
      </w:r>
      <w:bookmarkEnd w:id="3"/>
    </w:p>
    <w:p>
      <w:pPr>
        <w:pStyle w:val="标题1"/>
        <w:wordWrap w:val="0"/>
        <w:spacing w:before="0" w:after="0" w:line="600" w:lineRule="exact"/>
        <w:jc w:val="left"/>
        <w:rPr>
          <w:rFonts w:ascii="黑体" w:eastAsia="黑体" w:hAnsi="黑体" w:hint="eastAsia"/>
          <w:sz w:val="30"/>
          <w:szCs w:val="30"/>
          <w:lang w:val="en-US" w:eastAsia="zh-CN"/>
        </w:rPr>
      </w:pPr>
      <w:r>
        <w:rPr>
          <w:rFonts w:ascii="方正小标宋简体" w:eastAsia="方正小标宋简体" w:hAnsi="方正小标宋简体" w:cs="方正小标宋简体" w:hint="eastAsia"/>
          <w:b w:val="0"/>
          <w:bCs w:val="0"/>
          <w:lang w:val="en-US" w:eastAsia="zh-CN"/>
        </w:rPr>
        <w:br w:type="page"/>
      </w:r>
      <w:bookmarkStart w:id="4" w:name="_Toc23540"/>
      <w:r>
        <w:rPr>
          <w:rFonts w:ascii="黑体" w:eastAsia="黑体" w:hAnsi="黑体" w:hint="eastAsia"/>
          <w:sz w:val="30"/>
          <w:szCs w:val="30"/>
          <w:lang w:val="en-US" w:eastAsia="zh-CN"/>
        </w:rPr>
        <w:t xml:space="preserve">一、《收入支出决算总表》</w:t>
      </w:r>
      <w:bookmarkEnd w:id="4"/>
    </w:p>
    <w:tbl>
      <w:tblPr>
        <w:tblStyle w:val="普通表格"/>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351"/>
        <w:gridCol w:w="1632"/>
        <w:gridCol w:w="3180"/>
        <w:gridCol w:w="1632"/>
      </w:tblGrid>
      <w:tr>
        <w:tblPrEx>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天津市天津医院</w:t>
            </w:r>
          </w:p>
        </w:tc>
        <w:tc>
          <w:tcPr>
            <w:tcW w:w="1701" w:type="dxa"/>
            <w:gridSpan w:val="2"/>
            <w:tcBorders>
              <w:top w:val="nil"/>
              <w:left w:val="nil"/>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righ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1701" w:type="dxa"/>
            <w:gridSpan w:val="2"/>
            <w:tcBorders>
              <w:top w:val="single" w:sz="4" w:space="0" w:color="000000"/>
              <w:left w:val="single" w:sz="4" w:space="0" w:color="000000"/>
              <w:bottom w:val="single" w:sz="4" w:space="0" w:color="000000"/>
              <w:right w:val="nil"/>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701" w:type="dxa"/>
            <w:gridSpan w:val="2"/>
            <w:tcBorders>
              <w:top w:val="single" w:sz="4" w:space="0" w:color="000000"/>
              <w:left w:val="nil"/>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9795" w:type="dxa"/>
          <w:jc w:val="center"/>
          <w:tblLayout w:type="fixed"/>
          <w:tblCellMar>
            <w:top w:w="0" w:type="dxa"/>
            <w:left w:w="108" w:type="dxa"/>
            <w:bottom w:w="0" w:type="dxa"/>
            <w:right w:w="108" w:type="dxa"/>
          </w:tblCellMar>
          <w:tblLook w:val="0000"/>
        </w:tblPrEx>
        <w:trPr>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一、一般公共预算财政拨款收入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tabs>
                <w:tab w:val="left" w:pos="1920"/>
              </w:tabs>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81719260.20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二、政府性基金预算财政拨款收入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69000000.00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三、国有资本经营预算财政拨款收入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68"/>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四、财政专户管理资金</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五、事业收入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2212486861.37</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六、事业单位经营收入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1040000.00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七、上级补助收入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2370323521.83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八、附属单位上缴收入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九、其他收入</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20349896.16</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hAnsi="Times New Roman" w:cs="Times New Roman" w:hint="default"/>
                <w:i w:val="0"/>
                <w:iCs w:val="0"/>
                <w:color w:val="000000"/>
                <w:kern w:val="0.0"/>
                <w:sz w:val="20"/>
                <w:szCs w:val="20"/>
                <w:u w:val="none"/>
                <w:lang w:val="en-US" w:eastAsia="zh-CN"/>
              </w:rPr>
              <w:t xml:space="preserve">  </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700.00</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kern w:val="0.0"/>
                <w:sz w:val="20"/>
                <w:szCs w:val="20"/>
                <w:u w:val="none"/>
                <w:lang w:val="en-US" w:eastAsia="zh-CN"/>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Times New Roman" w:eastAsia="宋体" w:hAnsi="Times New Roman" w:cs="Times New Roman" w:hint="default"/>
                <w:i w:val="0"/>
                <w:iCs w:val="0"/>
                <w:color w:val="000000"/>
                <w:sz w:val="20"/>
                <w:szCs w:val="20"/>
                <w:u w:val="none"/>
              </w:rPr>
            </w:pP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2383556017.73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2371364221.83</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w w:val="90"/>
                <w:kern w:val="0.0"/>
                <w:sz w:val="20"/>
                <w:szCs w:val="20"/>
                <w:u w:val="none"/>
                <w:lang w:val="en-US" w:eastAsia="zh-CN"/>
              </w:rPr>
              <w:t xml:space="preserve">十、使用非财政拨款结余</w:t>
            </w:r>
            <w:r>
              <w:rPr>
                <w:rFonts w:ascii="宋体" w:hAnsi="宋体" w:cs="宋体" w:hint="eastAsia"/>
                <w:i w:val="0"/>
                <w:iCs w:val="0"/>
                <w:color w:val="000000"/>
                <w:w w:val="90"/>
                <w:kern w:val="0.0"/>
                <w:sz w:val="20"/>
                <w:szCs w:val="20"/>
                <w:u w:val="none"/>
                <w:lang w:val="en-US" w:eastAsia="zh-CN"/>
              </w:rPr>
              <w:t xml:space="preserve">（含专用结余）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7623724.78</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二十四、结余分配</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18770256.39</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十一、年初结转和结余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35159696.53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二十五、年末结转和结余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36204960.82</w:t>
            </w: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其中：财政拨款结转和结余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1972000.00</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600" w:leftChars="0" w:rightChars="0" w:firstLineChars="30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其他结转和结余</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33187696.53</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left"/>
              <w:rPr>
                <w:rFonts w:ascii="宋体" w:eastAsia="宋体" w:hAnsi="宋体" w:cs="宋体" w:hint="eastAsia"/>
                <w:i w:val="0"/>
                <w:iCs w:val="0"/>
                <w:color w:val="000000"/>
                <w:sz w:val="20"/>
                <w:szCs w:val="20"/>
                <w:u w:val="none"/>
              </w:rPr>
            </w:pP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pacing w:line="240" w:lineRule="auto"/>
              <w:ind w:left="0" w:right="0" w:firstLine="0" w:leftChars="0" w:rightChars="0" w:firstLineChars="0"/>
              <w:jc w:val="right"/>
              <w:rPr>
                <w:rFonts w:ascii="Times New Roman" w:eastAsia="宋体" w:hAnsi="Times New Roman" w:cs="Times New Roman" w:hint="default"/>
                <w:i w:val="0"/>
                <w:iCs w:val="0"/>
                <w:color w:val="000000"/>
                <w:sz w:val="20"/>
                <w:szCs w:val="20"/>
                <w:u w:val="none"/>
              </w:rPr>
            </w:pPr>
          </w:p>
        </w:tc>
      </w:tr>
      <w:tr>
        <w:tblPrEx>
          <w:tblW w:w="9795" w:type="dxa"/>
          <w:jc w:val="center"/>
          <w:tblLayout w:type="fixed"/>
          <w:tblCellMar>
            <w:top w:w="0" w:type="dxa"/>
            <w:left w:w="108" w:type="dxa"/>
            <w:bottom w:w="0" w:type="dxa"/>
            <w:right w:w="108" w:type="dxa"/>
          </w:tblCellMar>
          <w:tblLook w:val="0000"/>
        </w:tblPrEx>
        <w:trPr>
          <w:cantSplit/>
          <w:trHeight w:hRule="exact" w:val="397"/>
          <w:jc w:val="center"/>
        </w:trPr>
        <w:tc>
          <w:tcPr>
            <w:tcW w:w="3505"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2426339439.04</w:t>
            </w:r>
          </w:p>
        </w:tc>
        <w:tc>
          <w:tcPr>
            <w:tcW w:w="332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支出总计</w:t>
            </w:r>
          </w:p>
        </w:tc>
        <w:tc>
          <w:tcPr>
            <w:tcW w:w="170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pacing w:line="240" w:lineRule="auto"/>
              <w:ind w:left="0" w:right="0" w:firstLine="0" w:leftChars="0" w:rightChars="0" w:firstLineChars="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2426339439.04</w:t>
            </w:r>
          </w:p>
        </w:tc>
      </w:tr>
      <w:tr>
        <w:tblPrEx>
          <w:tblW w:w="9795" w:type="dxa"/>
          <w:jc w:val="center"/>
          <w:tblLayout w:type="fixed"/>
          <w:tblCellMar>
            <w:top w:w="0" w:type="dxa"/>
            <w:left w:w="108" w:type="dxa"/>
            <w:bottom w:w="0" w:type="dxa"/>
            <w:right w:w="108" w:type="dxa"/>
          </w:tblCellMar>
          <w:tblLook w:val="0000"/>
        </w:tblPrEx>
        <w:trPr>
          <w:trHeight w:val="315"/>
          <w:jc w:val="center"/>
        </w:trPr>
        <w:tc>
          <w:tcPr>
            <w:tcW w:w="1701" w:type="dxa"/>
            <w:gridSpan w:val="4"/>
            <w:tcBorders>
              <w:top w:val="nil"/>
              <w:left w:val="nil"/>
              <w:bottom w:val="nil"/>
              <w:right w:val="nil"/>
            </w:tcBorders>
            <w:vAlign w:val="center"/>
          </w:tcPr>
          <w:p>
            <w:pPr>
              <w:divId w:val="0"/>
              <w:keepNext w:val="0"/>
              <w:keepLines w:val="0"/>
              <w:widowControl/>
              <w:suppressLineNumbers w:val="0"/>
              <w:spacing w:line="240" w:lineRule="auto"/>
              <w:ind w:left="0" w:right="0" w:firstLine="0" w:leftChars="0" w:righ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注：本表反映本年度的总收支和年末结转结余情况。财政专户管理资金是指教育收费；事业收入不含教育收费。</w:t>
            </w:r>
          </w:p>
        </w:tc>
      </w:tr>
    </w:tbl>
    <w:p>
      <w:pPr>
        <w:rPr>
          <w:rFonts w:hint="eastAsia"/>
          <w:lang w:val="en-US" w:eastAsia="zh-CN"/>
        </w:rPr>
        <w:sectPr>
          <w:footerReference w:type="default" r:id="rId5"/>
          <w:type w:val="nextPage"/>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start="1"/>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5" w:name="_Toc8357"/>
      <w:r>
        <w:rPr>
          <w:rFonts w:ascii="黑体" w:eastAsia="黑体" w:hAnsi="黑体" w:hint="eastAsia"/>
          <w:sz w:val="30"/>
          <w:szCs w:val="30"/>
          <w:lang w:val="en-US" w:eastAsia="zh-CN"/>
        </w:rPr>
        <w:t xml:space="preserve">二、《收入决算表（按功能分类列示）》</w:t>
      </w:r>
      <w:bookmarkEnd w:id="5"/>
    </w:p>
    <w:tbl>
      <w:tblPr>
        <w:tblStyle w:val="普通表格"/>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23"/>
        <w:gridCol w:w="2184"/>
        <w:gridCol w:w="1824"/>
        <w:gridCol w:w="1737"/>
        <w:gridCol w:w="1503"/>
        <w:gridCol w:w="1680"/>
        <w:gridCol w:w="1656"/>
        <w:gridCol w:w="1572"/>
        <w:gridCol w:w="1524"/>
        <w:gridCol w:w="1587"/>
      </w:tblGrid>
      <w:tr>
        <w:tblPrEx>
          <w:tblW w:w="1629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951" w:type="dxa"/>
            <w:gridSpan w:val="6"/>
            <w:tcBorders>
              <w:top w:val="nil"/>
              <w:left w:val="nil"/>
              <w:bottom w:val="single" w:sz="4" w:space="0" w:color="auto"/>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4"/>
                <w:szCs w:val="24"/>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1656"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1572" w:type="dxa"/>
            <w:tcBorders>
              <w:top w:val="nil"/>
              <w:left w:val="nil"/>
              <w:bottom w:val="single" w:sz="4" w:space="0" w:color="auto"/>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4"/>
                <w:szCs w:val="24"/>
                <w:u w:val="none"/>
              </w:rPr>
            </w:pPr>
          </w:p>
        </w:tc>
        <w:tc>
          <w:tcPr>
            <w:tcW w:w="3111" w:type="dxa"/>
            <w:gridSpan w:val="2"/>
            <w:tcBorders>
              <w:top w:val="nil"/>
              <w:left w:val="nil"/>
              <w:bottom w:val="single" w:sz="4" w:space="0" w:color="auto"/>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auto"/>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8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本年收入合计</w:t>
            </w:r>
          </w:p>
        </w:tc>
        <w:tc>
          <w:tcPr>
            <w:tcW w:w="1737" w:type="dxa"/>
            <w:vMerge w:val="restart"/>
            <w:tcBorders>
              <w:top w:val="single" w:sz="4" w:space="0" w:color="auto"/>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财政拨款收入</w:t>
            </w:r>
          </w:p>
        </w:tc>
        <w:tc>
          <w:tcPr>
            <w:tcW w:w="1503"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上级补助收入</w:t>
            </w:r>
          </w:p>
        </w:tc>
        <w:tc>
          <w:tcPr>
            <w:tcW w:w="3336" w:type="dxa"/>
            <w:gridSpan w:val="2"/>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事业收入</w:t>
            </w:r>
          </w:p>
        </w:tc>
        <w:tc>
          <w:tcPr>
            <w:tcW w:w="1572"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经营收入</w:t>
            </w:r>
          </w:p>
        </w:tc>
        <w:tc>
          <w:tcPr>
            <w:tcW w:w="1524" w:type="dxa"/>
            <w:vMerge w:val="restart"/>
            <w:tcBorders>
              <w:top w:val="single" w:sz="4" w:space="0" w:color="auto"/>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附属单位上缴收入</w:t>
            </w:r>
          </w:p>
        </w:tc>
        <w:tc>
          <w:tcPr>
            <w:tcW w:w="1587" w:type="dxa"/>
            <w:vMerge w:val="restart"/>
            <w:tcBorders>
              <w:top w:val="single" w:sz="4" w:space="0" w:color="auto"/>
              <w:left w:val="single" w:sz="4" w:space="0" w:color="000000"/>
              <w:bottom w:val="single" w:sz="4" w:space="0" w:color="000000"/>
              <w:right w:val="single" w:sz="4" w:space="0" w:color="auto"/>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其他收入</w:t>
            </w: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val="restart"/>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184"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165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其中：教育收费</w:t>
            </w: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1023" w:type="dxa"/>
            <w:vMerge/>
            <w:tcBorders>
              <w:top w:val="single" w:sz="4" w:space="0" w:color="000000"/>
              <w:left w:val="single" w:sz="4" w:space="0" w:color="auto"/>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18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8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737" w:type="dxa"/>
            <w:vMerge/>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snapToGrid w:val="0"/>
              <w:jc w:val="center"/>
              <w:rPr>
                <w:rFonts w:ascii="宋体" w:eastAsia="宋体" w:hAnsi="宋体" w:cs="宋体" w:hint="eastAsia"/>
                <w:i w:val="0"/>
                <w:iCs w:val="0"/>
                <w:color w:val="000000"/>
                <w:sz w:val="20"/>
                <w:szCs w:val="20"/>
                <w:u w:val="none"/>
              </w:rPr>
            </w:pPr>
          </w:p>
        </w:tc>
        <w:tc>
          <w:tcPr>
            <w:tcW w:w="1503"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65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7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24"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587" w:type="dxa"/>
            <w:vMerge/>
            <w:tcBorders>
              <w:top w:val="single" w:sz="4" w:space="0" w:color="000000"/>
              <w:left w:val="single" w:sz="4" w:space="0" w:color="000000"/>
              <w:bottom w:val="single" w:sz="4" w:space="0" w:color="000000"/>
              <w:right w:val="single" w:sz="4" w:space="0" w:color="auto"/>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exact" w:val="397"/>
          <w:tblHeader/>
          <w:jc w:val="center"/>
        </w:trPr>
        <w:tc>
          <w:tcPr>
            <w:tcW w:w="3207" w:type="dxa"/>
            <w:gridSpan w:val="2"/>
            <w:tcBorders>
              <w:top w:val="single" w:sz="4" w:space="0" w:color="000000"/>
              <w:left w:val="single" w:sz="4" w:space="0" w:color="auto"/>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8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2383556017.73</w:t>
            </w:r>
          </w:p>
        </w:tc>
        <w:tc>
          <w:tcPr>
            <w:tcW w:w="173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150719260.20</w:t>
            </w:r>
          </w:p>
        </w:tc>
        <w:tc>
          <w:tcPr>
            <w:tcW w:w="150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2212486861.37</w:t>
            </w:r>
          </w:p>
        </w:tc>
        <w:tc>
          <w:tcPr>
            <w:tcW w:w="165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000000"/>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20349896.16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2080116</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1040000.00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2382515317.73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149678560.20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2212486861.37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20349896.16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2303526637.03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70689879.50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2212486861.37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20349896.16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6256879.50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6256879.50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2100208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2297269757.53</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64433000.00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2212486861.37</w:t>
            </w: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20349896.16</w:t>
            </w: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143680.70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143680.70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2100409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143680.70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143680.70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行政事业单位医疗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9480000.00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9480000.00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2101102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事业单位医疗</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6362000.00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6362000.00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2101199</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其他行政事业单位医疗支出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3118000.00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3118000.00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2101704</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365000.00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365000.00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69000000.00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69000000.00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2109801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69000000.00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69000000.00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val="397"/>
          <w:tblHeader/>
          <w:jc w:val="center"/>
        </w:trPr>
        <w:tc>
          <w:tcPr>
            <w:tcW w:w="1023" w:type="dxa"/>
            <w:tcBorders>
              <w:top w:val="single" w:sz="4" w:space="0" w:color="000000"/>
              <w:left w:val="single" w:sz="4" w:space="0" w:color="auto"/>
              <w:bottom w:val="single" w:sz="4" w:space="0" w:color="auto"/>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z w:val="20"/>
                <w:szCs w:val="20"/>
                <w:u w:val="none"/>
                <w:lang w:val="en-US" w:eastAsia="zh-CN"/>
              </w:rPr>
            </w:pPr>
            <w:r>
              <w:rPr>
                <w:rFonts w:ascii="宋体" w:eastAsia="宋体" w:hAnsi="宋体" w:cs="宋体" w:hint="default"/>
                <w:i w:val="0"/>
                <w:iCs w:val="0"/>
                <w:color w:val="000000"/>
                <w:sz w:val="20"/>
                <w:szCs w:val="20"/>
                <w:u w:val="none"/>
                <w:lang w:val="en-US" w:eastAsia="zh-CN"/>
              </w:rPr>
              <w:t xml:space="preserve">2320301</w:t>
            </w:r>
          </w:p>
        </w:tc>
        <w:tc>
          <w:tcPr>
            <w:tcW w:w="2184" w:type="dxa"/>
            <w:tcBorders>
              <w:top w:val="single" w:sz="4" w:space="0" w:color="000000"/>
              <w:left w:val="single" w:sz="4" w:space="0" w:color="000000"/>
              <w:bottom w:val="single" w:sz="4" w:space="0" w:color="auto"/>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18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737"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rPr>
            </w:pPr>
            <w:r>
              <w:rPr>
                <w:rFonts w:ascii="Times New Roman" w:eastAsia="宋体" w:hAnsi="Times New Roman" w:cs="Times New Roman" w:hint="default"/>
                <w:i w:val="0"/>
                <w:iCs w:val="0"/>
                <w:color w:val="000000"/>
                <w:sz w:val="20"/>
                <w:szCs w:val="20"/>
                <w:u w:val="none"/>
                <w:lang w:val="en-US" w:eastAsia="zh-CN"/>
              </w:rPr>
              <w:t xml:space="preserve">700.00</w:t>
            </w:r>
          </w:p>
        </w:tc>
        <w:tc>
          <w:tcPr>
            <w:tcW w:w="1503"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80"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656"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72"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24" w:type="dxa"/>
            <w:tcBorders>
              <w:top w:val="single" w:sz="4" w:space="0" w:color="000000"/>
              <w:left w:val="single" w:sz="4" w:space="0" w:color="000000"/>
              <w:bottom w:val="single" w:sz="4" w:space="0" w:color="auto"/>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587" w:type="dxa"/>
            <w:tcBorders>
              <w:top w:val="single" w:sz="4" w:space="0" w:color="000000"/>
              <w:left w:val="single" w:sz="4" w:space="0" w:color="000000"/>
              <w:bottom w:val="single" w:sz="4" w:space="0" w:color="auto"/>
              <w:right w:val="single" w:sz="4" w:space="0" w:color="auto"/>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r>
      <w:tr>
        <w:tblPrEx>
          <w:tblW w:w="16290" w:type="dxa"/>
          <w:jc w:val="center"/>
          <w:tblLayout w:type="fixed"/>
          <w:tblCellMar>
            <w:top w:w="0" w:type="dxa"/>
            <w:left w:w="108" w:type="dxa"/>
            <w:bottom w:w="0" w:type="dxa"/>
            <w:right w:w="108" w:type="dxa"/>
          </w:tblCellMar>
          <w:tblLook w:val="0000"/>
        </w:tblPrEx>
        <w:trPr>
          <w:trHeight w:hRule="auto" w:val="0"/>
          <w:jc w:val="center"/>
        </w:trPr>
        <w:tc>
          <w:tcPr>
            <w:tcW w:w="16290" w:type="dxa"/>
            <w:gridSpan w:val="10"/>
            <w:tcBorders>
              <w:top w:val="single" w:sz="4" w:space="0" w:color="auto"/>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注：本表反映本年度取得的各项收入情况。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6" w:name="_Toc12692"/>
      <w:r>
        <w:rPr>
          <w:rFonts w:ascii="黑体" w:eastAsia="黑体" w:hAnsi="黑体" w:hint="eastAsia"/>
          <w:b/>
          <w:bCs/>
          <w:sz w:val="30"/>
          <w:szCs w:val="30"/>
          <w:lang w:val="en-US" w:eastAsia="zh-CN"/>
        </w:rPr>
        <w:t xml:space="preserve">三、《收入决算表（按单位列示）》</w:t>
      </w:r>
      <w:bookmarkEnd w:id="6"/>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33"/>
        <w:gridCol w:w="1405"/>
        <w:gridCol w:w="1344"/>
        <w:gridCol w:w="1153"/>
        <w:gridCol w:w="1285"/>
        <w:gridCol w:w="1285"/>
        <w:gridCol w:w="1285"/>
        <w:gridCol w:w="1285"/>
        <w:gridCol w:w="1285"/>
        <w:gridCol w:w="1285"/>
        <w:gridCol w:w="1285"/>
        <w:gridCol w:w="1329"/>
        <w:gridCol w:w="132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300"/>
          <w:jc w:val="center"/>
        </w:trPr>
        <w:tc>
          <w:tcPr>
            <w:tcW w:w="9775" w:type="dxa"/>
            <w:gridSpan w:val="8"/>
            <w:tcBorders>
              <w:top w:val="nil"/>
              <w:left w:val="nil"/>
              <w:bottom w:val="single" w:sz="4" w:space="0" w:color="000000"/>
              <w:right w:val="nil"/>
            </w:tcBorders>
            <w:noWrap w:val="1"/>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天津市天津医院</w:t>
            </w: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1285" w:type="dxa"/>
            <w:tcBorders>
              <w:top w:val="nil"/>
              <w:left w:val="nil"/>
              <w:bottom w:val="single" w:sz="4" w:space="0" w:color="000000"/>
              <w:right w:val="nil"/>
            </w:tcBorders>
            <w:noWrap w:val="1"/>
            <w:vAlign w:val="center"/>
          </w:tcPr>
          <w:p>
            <w:pPr>
              <w:divId w:val="0"/>
              <w:jc w:val="center"/>
              <w:rPr>
                <w:rFonts w:ascii="宋体" w:eastAsia="宋体" w:hAnsi="宋体" w:cs="宋体" w:hint="eastAsia"/>
                <w:i w:val="0"/>
                <w:iCs w:val="0"/>
                <w:color w:val="000000"/>
                <w:sz w:val="16"/>
                <w:szCs w:val="16"/>
                <w:u w:val="none"/>
              </w:rPr>
            </w:pPr>
          </w:p>
        </w:tc>
        <w:tc>
          <w:tcPr>
            <w:tcW w:w="2658" w:type="dxa"/>
            <w:gridSpan w:val="2"/>
            <w:tcBorders>
              <w:top w:val="nil"/>
              <w:left w:val="nil"/>
              <w:bottom w:val="single" w:sz="4" w:space="0" w:color="000000"/>
              <w:right w:val="nil"/>
            </w:tcBorders>
            <w:noWrap w:val="1"/>
            <w:vAlign w:val="center"/>
          </w:tcPr>
          <w:p>
            <w:pPr>
              <w:divId w:val="0"/>
              <w:keepNext w:val="0"/>
              <w:keepLines w:val="0"/>
              <w:widowControl/>
              <w:suppressLineNumbers w:val="0"/>
              <w:jc w:val="righ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40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344"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2806" w:type="dxa"/>
            <w:gridSpan w:val="10"/>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本年收入</w:t>
            </w:r>
          </w:p>
        </w:tc>
      </w:tr>
      <w:tr>
        <w:tblPrEx>
          <w:tblW w:w="16288" w:type="dxa"/>
          <w:jc w:val="center"/>
          <w:tblLayout w:type="fixed"/>
          <w:tblCellMar>
            <w:top w:w="0" w:type="dxa"/>
            <w:left w:w="108" w:type="dxa"/>
            <w:bottom w:w="0" w:type="dxa"/>
            <w:right w:w="108" w:type="dxa"/>
          </w:tblCellMar>
          <w:tblLook w:val="0000"/>
        </w:tblPrEx>
        <w:trPr>
          <w:trHeight w:val="30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事业单位经营收入</w:t>
            </w:r>
          </w:p>
        </w:tc>
        <w:tc>
          <w:tcPr>
            <w:tcW w:w="128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上级补助收入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附属单位上缴收入</w:t>
            </w:r>
          </w:p>
        </w:tc>
        <w:tc>
          <w:tcPr>
            <w:tcW w:w="132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其他收入</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73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40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44"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153"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285"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c>
          <w:tcPr>
            <w:tcW w:w="1329" w:type="dxa"/>
            <w:vMerge/>
            <w:tcBorders>
              <w:top w:val="single" w:sz="4" w:space="0" w:color="000000"/>
              <w:left w:val="single" w:sz="4" w:space="0" w:color="000000"/>
              <w:bottom w:val="single" w:sz="4" w:space="0" w:color="000000"/>
              <w:right w:val="single" w:sz="4" w:space="0" w:color="000000"/>
            </w:tcBorders>
            <w:vAlign w:val="center"/>
          </w:tcPr>
          <w:p>
            <w:pPr>
              <w:divId w:val="0"/>
              <w:jc w:val="center"/>
              <w:rPr>
                <w:rFonts w:ascii="宋体" w:eastAsia="宋体" w:hAnsi="宋体" w:cs="宋体" w:hint="eastAsia"/>
                <w:i w:val="0"/>
                <w:iCs w:val="0"/>
                <w:color w:val="000000"/>
                <w:sz w:val="16"/>
                <w:szCs w:val="16"/>
                <w:u w:val="none"/>
              </w:rPr>
            </w:pPr>
          </w:p>
        </w:tc>
      </w:tr>
      <w:tr>
        <w:tblPrEx>
          <w:tblW w:w="16288" w:type="dxa"/>
          <w:jc w:val="center"/>
          <w:tblLayout w:type="fixed"/>
          <w:tblCellMar>
            <w:top w:w="0" w:type="dxa"/>
            <w:left w:w="108" w:type="dxa"/>
            <w:bottom w:w="0" w:type="dxa"/>
            <w:right w:w="108" w:type="dxa"/>
          </w:tblCellMar>
          <w:tblLook w:val="0000"/>
        </w:tblPrEx>
        <w:trPr>
          <w:trHeight w:val="782"/>
          <w:jc w:val="center"/>
        </w:trPr>
        <w:tc>
          <w:tcPr>
            <w:tcW w:w="2138"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2426339439.04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2383556017.73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81719260.20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69000000.00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2212486861.37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20349896.16</w:t>
            </w:r>
          </w:p>
        </w:tc>
      </w:tr>
      <w:tr>
        <w:tblPrEx>
          <w:tblW w:w="16288" w:type="dxa"/>
          <w:jc w:val="center"/>
          <w:tblLayout w:type="fixed"/>
          <w:tblCellMar>
            <w:top w:w="0" w:type="dxa"/>
            <w:left w:w="108" w:type="dxa"/>
            <w:bottom w:w="0" w:type="dxa"/>
            <w:right w:w="108" w:type="dxa"/>
          </w:tblCellMar>
          <w:tblLook w:val="0000"/>
        </w:tblPrEx>
        <w:trPr>
          <w:trHeight w:val="283"/>
          <w:jc w:val="center"/>
        </w:trPr>
        <w:tc>
          <w:tcPr>
            <w:tcW w:w="73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368203</w:t>
            </w:r>
          </w:p>
        </w:tc>
        <w:tc>
          <w:tcPr>
            <w:tcW w:w="140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天津市天津医院</w:t>
            </w:r>
          </w:p>
        </w:tc>
        <w:tc>
          <w:tcPr>
            <w:tcW w:w="134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2426339439.04</w:t>
            </w:r>
          </w:p>
        </w:tc>
        <w:tc>
          <w:tcPr>
            <w:tcW w:w="11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2383556017.73</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81719260.20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69000000.00</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2212486861.37</w:t>
            </w: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285"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p>
        </w:tc>
        <w:tc>
          <w:tcPr>
            <w:tcW w:w="132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20349896.16</w:t>
            </w:r>
          </w:p>
        </w:tc>
      </w:tr>
      <w:tr>
        <w:tblPrEx>
          <w:tblW w:w="16288" w:type="dxa"/>
          <w:jc w:val="center"/>
          <w:tblLayout w:type="fixed"/>
          <w:tblCellMar>
            <w:top w:w="0" w:type="dxa"/>
            <w:left w:w="108" w:type="dxa"/>
            <w:bottom w:w="0" w:type="dxa"/>
            <w:right w:w="108" w:type="dxa"/>
          </w:tblCellMar>
          <w:tblLook w:val="0000"/>
        </w:tblPrEx>
        <w:trPr>
          <w:trHeight w:val="270"/>
          <w:jc w:val="center"/>
        </w:trPr>
        <w:tc>
          <w:tcPr>
            <w:tcW w:w="16288" w:type="dxa"/>
            <w:gridSpan w:val="13"/>
            <w:tcBorders>
              <w:top w:val="single" w:sz="4" w:space="0" w:color="000000"/>
              <w:left w:val="nil"/>
              <w:bottom w:val="nil"/>
              <w:right w:val="nil"/>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pStyle w:val="标题2"/>
        <w:wordWrap w:val="0"/>
        <w:spacing w:before="0" w:after="0" w:line="240" w:lineRule="auto"/>
        <w:ind w:firstLine="0" w:firstLineChars="0"/>
        <w:rPr>
          <w:rFonts w:ascii="黑体" w:eastAsia="黑体" w:hAnsi="黑体" w:hint="eastAsia"/>
          <w:sz w:val="30"/>
          <w:szCs w:val="30"/>
          <w:lang w:val="en-US" w:eastAsia="zh-CN"/>
        </w:rPr>
      </w:pPr>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697"/>
        <w:gridCol w:w="1388"/>
        <w:gridCol w:w="1482"/>
        <w:gridCol w:w="1836"/>
        <w:gridCol w:w="1802"/>
        <w:gridCol w:w="1798"/>
        <w:gridCol w:w="1884"/>
        <w:gridCol w:w="1692"/>
        <w:gridCol w:w="1860"/>
        <w:gridCol w:w="1849"/>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003" w:type="dxa"/>
            <w:gridSpan w:val="6"/>
            <w:tcBorders>
              <w:top w:val="nil"/>
              <w:left w:val="nil"/>
              <w:bottom w:val="single" w:sz="4" w:space="0" w:color="000000"/>
              <w:right w:val="nil"/>
            </w:tcBorders>
            <w:noWrap w:val="1"/>
            <w:vAlign w:val="center"/>
          </w:tcPr>
          <w:p>
            <w:pPr>
              <w:divId w:val="0"/>
              <w:snapToGrid w:val="0"/>
              <w:rPr>
                <w:rFonts w:ascii="宋体" w:eastAsia="宋体" w:hAnsi="宋体" w:cs="宋体" w:hint="eastAsia"/>
                <w:i w:val="0"/>
                <w:iCs w:val="0"/>
                <w:color w:val="000000"/>
                <w:sz w:val="16"/>
                <w:szCs w:val="16"/>
                <w:u w:val="none"/>
              </w:rPr>
            </w:pPr>
            <w:r>
              <w:rPr>
                <w:rFonts w:ascii="宋体" w:hAnsi="宋体" w:cs="宋体" w:hint="eastAsia"/>
                <w:i w:val="0"/>
                <w:iCs w:val="0"/>
                <w:color w:val="000000"/>
                <w:kern w:val="0.0"/>
                <w:sz w:val="16"/>
                <w:szCs w:val="16"/>
                <w:u w:val="none"/>
                <w:lang w:val="en-US" w:eastAsia="zh-CN"/>
              </w:rPr>
              <w:t xml:space="preserve">单位</w:t>
            </w:r>
            <w:r>
              <w:rPr>
                <w:rFonts w:ascii="宋体" w:eastAsia="宋体" w:hAnsi="宋体" w:cs="宋体" w:hint="eastAsia"/>
                <w:i w:val="0"/>
                <w:iCs w:val="0"/>
                <w:color w:val="000000"/>
                <w:kern w:val="0.0"/>
                <w:sz w:val="16"/>
                <w:szCs w:val="16"/>
                <w:u w:val="none"/>
                <w:lang w:val="en-US" w:eastAsia="zh-CN"/>
              </w:rPr>
              <w:t xml:space="preserve">：</w:t>
            </w:r>
            <w:r>
              <w:rPr>
                <w:rFonts w:ascii="宋体" w:eastAsia="宋体" w:hAnsi="宋体" w:cs="宋体" w:hint="eastAsia"/>
                <w:i w:val="0"/>
                <w:iCs w:val="0"/>
                <w:color w:val="000000"/>
                <w:kern w:val="0.0"/>
                <w:sz w:val="16"/>
                <w:szCs w:val="16"/>
                <w:u w:val="none"/>
                <w:lang w:val="en-US" w:eastAsia="zh-CN"/>
              </w:rPr>
              <w:t xml:space="preserve">天津市天津医院</w:t>
            </w:r>
          </w:p>
        </w:tc>
        <w:tc>
          <w:tcPr>
            <w:tcW w:w="3576"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p>
        </w:tc>
        <w:tc>
          <w:tcPr>
            <w:tcW w:w="3709" w:type="dxa"/>
            <w:gridSpan w:val="2"/>
            <w:tcBorders>
              <w:top w:val="nil"/>
              <w:left w:val="nil"/>
              <w:bottom w:val="single" w:sz="4" w:space="0" w:color="000000"/>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部门（单位）代码</w:t>
            </w:r>
          </w:p>
        </w:tc>
        <w:tc>
          <w:tcPr>
            <w:tcW w:w="138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部门（单位）名称</w:t>
            </w:r>
          </w:p>
        </w:tc>
        <w:tc>
          <w:tcPr>
            <w:tcW w:w="14203" w:type="dxa"/>
            <w:gridSpan w:val="8"/>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上年结转和结余</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7320" w:type="dxa"/>
            <w:gridSpan w:val="4"/>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财政拨款结转结余</w:t>
            </w:r>
          </w:p>
        </w:tc>
        <w:tc>
          <w:tcPr>
            <w:tcW w:w="5401"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非财政拨款结转结余</w:t>
            </w:r>
          </w:p>
        </w:tc>
      </w:tr>
      <w:tr>
        <w:tblPrEx>
          <w:tblW w:w="16288" w:type="dxa"/>
          <w:jc w:val="center"/>
          <w:tblLayout w:type="fixed"/>
          <w:tblCellMar>
            <w:top w:w="0" w:type="dxa"/>
            <w:left w:w="108" w:type="dxa"/>
            <w:bottom w:w="0" w:type="dxa"/>
            <w:right w:w="108" w:type="dxa"/>
          </w:tblCellMar>
          <w:tblLook w:val="0000"/>
        </w:tblPrEx>
        <w:trPr>
          <w:cantSplit/>
          <w:trHeight w:hRule="auto" w:val="0"/>
          <w:jc w:val="center"/>
        </w:trPr>
        <w:tc>
          <w:tcPr>
            <w:tcW w:w="697"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38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482"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16"/>
                <w:szCs w:val="16"/>
                <w:u w:val="none"/>
              </w:rPr>
            </w:pP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一般公共预算</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政府性基金预算</w:t>
            </w: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国有资本经营预算</w:t>
            </w: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小计</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财政专户管理资金</w:t>
            </w: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085"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合计</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42783421.31</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1972000.00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1972000.00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40811421.31</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kern w:val="0.0"/>
                <w:sz w:val="13"/>
                <w:szCs w:val="13"/>
                <w:u w:val="none"/>
                <w:lang w:val="en-US" w:eastAsia="zh-CN"/>
              </w:rPr>
              <w:t xml:space="preserve">40811421.31</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697"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368203</w:t>
            </w:r>
          </w:p>
        </w:tc>
        <w:tc>
          <w:tcPr>
            <w:tcW w:w="138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left"/>
              <w:textAlignment w:val="center"/>
              <w:rPr>
                <w:rFonts w:ascii="宋体" w:eastAsia="宋体" w:hAnsi="宋体" w:cs="宋体" w:hint="eastAsia"/>
                <w:i w:val="0"/>
                <w:iCs w:val="0"/>
                <w:color w:val="000000"/>
                <w:kern w:val="0.0"/>
                <w:sz w:val="16"/>
                <w:szCs w:val="16"/>
                <w:u w:val="none"/>
                <w:lang w:val="en-US" w:eastAsia="zh-CN"/>
              </w:rPr>
            </w:pPr>
            <w:r>
              <w:rPr>
                <w:rFonts w:ascii="宋体" w:eastAsia="宋体" w:hAnsi="宋体" w:cs="宋体" w:hint="eastAsia"/>
                <w:i w:val="0"/>
                <w:iCs w:val="0"/>
                <w:color w:val="000000"/>
                <w:kern w:val="0.0"/>
                <w:sz w:val="16"/>
                <w:szCs w:val="16"/>
                <w:u w:val="none"/>
                <w:lang w:val="en-US" w:eastAsia="zh-CN"/>
              </w:rPr>
              <w:t xml:space="preserve">天津市天津医院</w:t>
            </w:r>
          </w:p>
        </w:tc>
        <w:tc>
          <w:tcPr>
            <w:tcW w:w="148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42783421.31</w:t>
            </w:r>
          </w:p>
        </w:tc>
        <w:tc>
          <w:tcPr>
            <w:tcW w:w="1836"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1972000.00</w:t>
            </w:r>
          </w:p>
        </w:tc>
        <w:tc>
          <w:tcPr>
            <w:tcW w:w="180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1972000.00</w:t>
            </w:r>
          </w:p>
        </w:tc>
        <w:tc>
          <w:tcPr>
            <w:tcW w:w="1798"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84"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69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40811421.31</w:t>
            </w:r>
          </w:p>
        </w:tc>
        <w:tc>
          <w:tcPr>
            <w:tcW w:w="186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p>
        </w:tc>
        <w:tc>
          <w:tcPr>
            <w:tcW w:w="184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13"/>
                <w:szCs w:val="13"/>
                <w:u w:val="none"/>
              </w:rPr>
            </w:pPr>
            <w:r>
              <w:rPr>
                <w:rFonts w:ascii="Times New Roman" w:eastAsia="宋体" w:hAnsi="Times New Roman" w:cs="Times New Roman" w:hint="default"/>
                <w:i w:val="0"/>
                <w:iCs w:val="0"/>
                <w:color w:val="000000"/>
                <w:sz w:val="13"/>
                <w:szCs w:val="13"/>
                <w:u w:val="none"/>
              </w:rPr>
              <w:t xml:space="preserve">40811421.31</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10"/>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16"/>
                <w:szCs w:val="16"/>
                <w:u w:val="none"/>
              </w:rPr>
            </w:pPr>
            <w:r>
              <w:rPr>
                <w:rFonts w:ascii="宋体" w:eastAsia="宋体" w:hAnsi="宋体" w:cs="宋体" w:hint="eastAsia"/>
                <w:i w:val="0"/>
                <w:iCs w:val="0"/>
                <w:color w:val="000000"/>
                <w:kern w:val="0.0"/>
                <w:sz w:val="16"/>
                <w:szCs w:val="16"/>
                <w:u w:val="none"/>
                <w:lang w:val="en-US" w:eastAsia="zh-CN"/>
              </w:rPr>
              <w:t xml:space="preserve">注：本表反映本年度取得的各项收入情况。财政专户管理资金是指教育收费；事业收入不含教育收费。</w:t>
            </w:r>
          </w:p>
        </w:tc>
      </w:tr>
    </w:tbl>
    <w:p>
      <w:pPr>
        <w:sectPr>
          <w:footerReference w:type="default" r:id="rId6"/>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2"/>
        <w:wordWrap w:val="0"/>
        <w:spacing w:before="0" w:after="0" w:line="800" w:lineRule="exact"/>
        <w:ind w:firstLine="600" w:firstLineChars="200"/>
        <w:rPr>
          <w:rFonts w:ascii="黑体" w:eastAsia="黑体" w:hAnsi="黑体" w:hint="eastAsia"/>
          <w:sz w:val="30"/>
          <w:szCs w:val="30"/>
          <w:lang w:val="en-US" w:eastAsia="zh-CN"/>
        </w:rPr>
      </w:pPr>
      <w:bookmarkStart w:id="7" w:name="_Toc1008"/>
      <w:r>
        <w:rPr>
          <w:rFonts w:ascii="黑体" w:eastAsia="黑体" w:hAnsi="黑体" w:hint="eastAsia"/>
          <w:sz w:val="30"/>
          <w:szCs w:val="30"/>
          <w:lang w:val="en-US" w:eastAsia="zh-CN"/>
        </w:rPr>
        <w:t xml:space="preserve">四、《支出决算表》</w:t>
      </w:r>
      <w:bookmarkEnd w:id="7"/>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962"/>
        <w:gridCol w:w="3228"/>
        <w:gridCol w:w="1980"/>
        <w:gridCol w:w="1968"/>
        <w:gridCol w:w="2016"/>
        <w:gridCol w:w="2010"/>
        <w:gridCol w:w="2062"/>
        <w:gridCol w:w="206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138" w:type="dxa"/>
            <w:gridSpan w:val="4"/>
            <w:tcBorders>
              <w:top w:val="nil"/>
              <w:left w:val="nil"/>
              <w:bottom w:val="single" w:sz="4" w:space="0" w:color="000000"/>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2"/>
                <w:szCs w:val="22"/>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016" w:type="dxa"/>
            <w:tcBorders>
              <w:top w:val="nil"/>
              <w:left w:val="nil"/>
              <w:bottom w:val="single" w:sz="4" w:space="0" w:color="000000"/>
              <w:right w:val="nil"/>
            </w:tcBorders>
            <w:shd w:val="clear" w:color="auto" w:fill="FFFFFF"/>
            <w:noWrap w:val="1"/>
            <w:vAlign w:val="center"/>
          </w:tcPr>
          <w:p>
            <w:pPr>
              <w:divId w:val="0"/>
              <w:snapToGrid w:val="0"/>
              <w:jc w:val="center"/>
              <w:rPr>
                <w:rFonts w:ascii="宋体" w:eastAsia="宋体" w:hAnsi="宋体" w:cs="宋体" w:hint="eastAsia"/>
                <w:i w:val="0"/>
                <w:iCs w:val="0"/>
                <w:color w:val="000000"/>
                <w:sz w:val="22"/>
                <w:szCs w:val="22"/>
                <w:u w:val="none"/>
              </w:rPr>
            </w:pPr>
          </w:p>
        </w:tc>
        <w:tc>
          <w:tcPr>
            <w:tcW w:w="2010"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2"/>
                <w:szCs w:val="22"/>
                <w:u w:val="none"/>
              </w:rPr>
            </w:pPr>
          </w:p>
        </w:tc>
        <w:tc>
          <w:tcPr>
            <w:tcW w:w="2062" w:type="dxa"/>
            <w:tcBorders>
              <w:top w:val="nil"/>
              <w:left w:val="nil"/>
              <w:bottom w:val="single" w:sz="4" w:space="0" w:color="000000"/>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2"/>
                <w:szCs w:val="22"/>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198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本年支出合计</w:t>
            </w:r>
          </w:p>
        </w:tc>
        <w:tc>
          <w:tcPr>
            <w:tcW w:w="196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基本支出</w:t>
            </w:r>
          </w:p>
        </w:tc>
        <w:tc>
          <w:tcPr>
            <w:tcW w:w="2016"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1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上缴上级支出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经营支出</w:t>
            </w:r>
          </w:p>
        </w:tc>
        <w:tc>
          <w:tcPr>
            <w:tcW w:w="20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对附属单位补助支出</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962"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3228"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12"/>
          <w:jc w:val="center"/>
        </w:trPr>
        <w:tc>
          <w:tcPr>
            <w:tcW w:w="9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322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8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1968"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6"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1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c>
          <w:tcPr>
            <w:tcW w:w="2062"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190"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2371364221.83</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1198006761.75</w:t>
            </w: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r>
              <w:rPr>
                <w:rFonts w:ascii="Times New Roman" w:eastAsia="宋体" w:hAnsi="Times New Roman" w:cs="Times New Roman" w:hint="default"/>
                <w:color w:val="000000"/>
                <w:kern w:val="0.0"/>
                <w:sz w:val="20"/>
                <w:szCs w:val="20"/>
                <w:lang w:val="en-US" w:eastAsia="zh-CN"/>
              </w:rPr>
              <w:t xml:space="preserve">1173357460.08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color w:val="000000"/>
                <w:kern w:val="0.0"/>
                <w:sz w:val="20"/>
                <w:szCs w:val="20"/>
                <w:lang w:val="en-US" w:eastAsia="zh-CN"/>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社会保障和就业支出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人力资源和社会保障管理事务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2080116</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引进人才费用</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卫生健康支出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2370323521.83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1198006761.75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1172316760.08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2291334841.13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1188526761.75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1102808079.38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综合医院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6256879.50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6256879.50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2100208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其他专科医院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2285077961.63</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1188526761.75</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1096551199.88</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公共卫生</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2100409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重大公共卫生服务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行政事业单位医疗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9480000.00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9480000.00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2101102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事业单位医疗</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6362000.00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6362000.00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2101199</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其他行政事业单位医疗支出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3118000.00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3118000.00</w:t>
            </w: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中医药事务</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2101704</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中医（民族医）药专项</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超长期特别国债安排的支出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2109801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公立医院</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69000000.00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69000000.00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地方政府一般债务付息支出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96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2320301</w:t>
            </w:r>
          </w:p>
        </w:tc>
        <w:tc>
          <w:tcPr>
            <w:tcW w:w="32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lang w:val="en-US" w:eastAsia="zh-CN"/>
              </w:rPr>
            </w:pPr>
            <w:r>
              <w:rPr>
                <w:rFonts w:ascii="宋体" w:eastAsia="宋体" w:hAnsi="宋体" w:cs="宋体" w:hint="eastAsia"/>
                <w:i w:val="0"/>
                <w:iCs w:val="0"/>
                <w:color w:val="000000"/>
                <w:sz w:val="20"/>
                <w:szCs w:val="20"/>
                <w:u w:val="none"/>
                <w:lang w:val="en-US" w:eastAsia="zh-CN"/>
              </w:rPr>
              <w:t xml:space="preserve">地方政府一般债券付息支出</w:t>
            </w:r>
          </w:p>
        </w:tc>
        <w:tc>
          <w:tcPr>
            <w:tcW w:w="198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1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16"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010"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2062"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single" w:sz="4" w:space="0" w:color="000000"/>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sz w:val="20"/>
                <w:szCs w:val="20"/>
                <w:u w:val="none"/>
              </w:rPr>
              <w:t xml:space="preserve">注：本表反映本年度各项支出情况。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8" w:name="_Toc22229"/>
      <w:r>
        <w:rPr>
          <w:rFonts w:ascii="黑体" w:eastAsia="黑体" w:hAnsi="黑体" w:hint="eastAsia"/>
          <w:sz w:val="30"/>
          <w:szCs w:val="30"/>
          <w:lang w:val="en-US" w:eastAsia="zh-CN"/>
        </w:rPr>
        <w:t xml:space="preserve">五、《财政拨款收入支出决算总表》</w:t>
      </w:r>
      <w:bookmarkEnd w:id="8"/>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3051"/>
        <w:gridCol w:w="2324"/>
        <w:gridCol w:w="2968"/>
        <w:gridCol w:w="2004"/>
        <w:gridCol w:w="1992"/>
        <w:gridCol w:w="1932"/>
        <w:gridCol w:w="201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343" w:type="dxa"/>
            <w:gridSpan w:val="3"/>
            <w:tcBorders>
              <w:top w:val="nil"/>
              <w:left w:val="nil"/>
              <w:bottom w:val="nil"/>
              <w:right w:val="nil"/>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004"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1992" w:type="dxa"/>
            <w:tcBorders>
              <w:top w:val="nil"/>
              <w:left w:val="nil"/>
              <w:bottom w:val="nil"/>
              <w:right w:val="nil"/>
            </w:tcBorders>
            <w:shd w:val="clear" w:color="auto" w:fill="FFFFFF"/>
            <w:noWrap w:val="1"/>
            <w:vAlign w:val="center"/>
          </w:tcPr>
          <w:p>
            <w:pPr>
              <w:divId w:val="0"/>
              <w:snapToGrid w:val="0"/>
              <w:jc w:val="right"/>
              <w:rPr>
                <w:rFonts w:ascii="宋体" w:eastAsia="宋体" w:hAnsi="宋体" w:cs="宋体" w:hint="eastAsia"/>
                <w:i w:val="0"/>
                <w:iCs w:val="0"/>
                <w:color w:val="000000"/>
                <w:sz w:val="20"/>
                <w:szCs w:val="20"/>
                <w:u w:val="none"/>
              </w:rPr>
            </w:pPr>
          </w:p>
        </w:tc>
        <w:tc>
          <w:tcPr>
            <w:tcW w:w="3949" w:type="dxa"/>
            <w:gridSpan w:val="2"/>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375" w:type="dxa"/>
            <w:gridSpan w:val="2"/>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收入</w:t>
            </w:r>
          </w:p>
        </w:tc>
        <w:tc>
          <w:tcPr>
            <w:tcW w:w="10913" w:type="dxa"/>
            <w:gridSpan w:val="5"/>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32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99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1932"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017" w:type="dxa"/>
            <w:tcBorders>
              <w:top w:val="single" w:sz="4" w:space="0" w:color="000000"/>
              <w:left w:val="single" w:sz="4" w:space="0" w:color="000000"/>
              <w:bottom w:val="single" w:sz="4" w:space="0" w:color="000000"/>
              <w:right w:val="single" w:sz="4" w:space="0" w:color="000000"/>
            </w:tcBorders>
            <w:shd w:val="clear" w:color="auto" w:fill="FFFFFF"/>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国有资本经营预算财政拨款</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81719260.20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一、一般公共服务支出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69000000.00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二、公共安全支出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三、教育支出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四、科学技术支出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五、文化旅游体育与传媒支出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六、社会保障和就业支出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1040000.00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1040000.00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七、卫生健康支出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149678560.20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80678560.20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69000000.00</w:t>
            </w: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八、节能环保支出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九、城乡社区支出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十、农林水支出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十一、交通运输支出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十二、资源勘探工业信息等支出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十三、商业服务业等支出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十四、金融支出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十五、援助其他地区支出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十六、自然资源海洋气象等支出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十七、住房保障支出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十八、粮油物资储备支出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十九、国有资本经营预算支出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二十、灾害防治及应急管理支出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017"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二十一、其他支出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二十二、债务付息支出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700.00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700.00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二十三、抗疫特别国债安排的支出</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本年收入合计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150719260.20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本年支出合计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150719260.20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81719260.20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69000000.00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年初财政拨款结转和结余</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年末财政拨款结转和结余</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1972000.00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spacing w:line="240" w:lineRule="auto"/>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一般公共预算财政拨款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1972000.00</w:t>
            </w: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ind w:left="0" w:firstLine="0" w:leftChars="0" w:firstLineChars="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政府性基金预算财政拨款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国有资本经营预算财政拨款</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968"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rPr>
            </w:pP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05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32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152691260.20</w:t>
            </w:r>
          </w:p>
        </w:tc>
        <w:tc>
          <w:tcPr>
            <w:tcW w:w="2968"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总计</w:t>
            </w:r>
          </w:p>
        </w:tc>
        <w:tc>
          <w:tcPr>
            <w:tcW w:w="2004"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333333"/>
                <w:kern w:val="0.0"/>
                <w:sz w:val="20"/>
                <w:szCs w:val="20"/>
                <w:u w:val="none"/>
                <w:lang w:val="en-US" w:eastAsia="zh-CN"/>
              </w:rPr>
              <w:t xml:space="preserve">152691260.20</w:t>
            </w:r>
          </w:p>
        </w:tc>
        <w:tc>
          <w:tcPr>
            <w:tcW w:w="199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83691260.20</w:t>
            </w:r>
          </w:p>
        </w:tc>
        <w:tc>
          <w:tcPr>
            <w:tcW w:w="1932"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333333"/>
                <w:kern w:val="0.0"/>
                <w:sz w:val="20"/>
                <w:szCs w:val="20"/>
                <w:u w:val="none"/>
                <w:lang w:val="en-US" w:eastAsia="zh-CN"/>
              </w:rPr>
              <w:t xml:space="preserve">69000000.00</w:t>
            </w:r>
          </w:p>
        </w:tc>
        <w:tc>
          <w:tcPr>
            <w:tcW w:w="2017"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single" w:sz="4" w:space="0" w:color="000000"/>
              <w:left w:val="nil"/>
              <w:bottom w:val="nil"/>
              <w:right w:val="nil"/>
            </w:tcBorders>
            <w:shd w:val="clear" w:color="auto" w:fill="FFFFFF"/>
            <w:noWrap w:val="1"/>
            <w:vAlign w:val="center"/>
          </w:tcPr>
          <w:p>
            <w:pPr>
              <w:divId w:val="0"/>
              <w:keepNext w:val="0"/>
              <w:keepLines w:val="0"/>
              <w:widowControl/>
              <w:suppressLineNumbers w:val="0"/>
              <w:snapToGrid w:val="0"/>
              <w:jc w:val="left"/>
              <w:textAlignment w:val="center"/>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sz w:val="20"/>
                <w:szCs w:val="20"/>
                <w:u w:val="none"/>
              </w:rPr>
              <w:t xml:space="preserve">注：本表反映本年度一般公共预算财政拨款、政府性基金预算财政拨款和国有资本经营预算财政拨款的总收支和年末结转结余情况。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9" w:name="_Toc13290"/>
      <w:r>
        <w:rPr>
          <w:rFonts w:ascii="黑体" w:eastAsia="黑体" w:hAnsi="黑体" w:hint="eastAsia"/>
          <w:sz w:val="30"/>
          <w:szCs w:val="30"/>
          <w:lang w:val="en-US" w:eastAsia="zh-CN"/>
        </w:rPr>
        <w:t xml:space="preserve">六、《一般公共预算财政拨款支出决算表》</w:t>
      </w:r>
      <w:bookmarkEnd w:id="9"/>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66"/>
        <w:gridCol w:w="2891"/>
        <w:gridCol w:w="2446"/>
        <w:gridCol w:w="2446"/>
        <w:gridCol w:w="2446"/>
        <w:gridCol w:w="2446"/>
        <w:gridCol w:w="244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13841" w:type="dxa"/>
            <w:gridSpan w:val="6"/>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Style w:val="font41"/>
                <w:lang w:val="en-US" w:eastAsia="zh-CN"/>
              </w:rPr>
              <w:t xml:space="preserve">天津市天津医院</w:t>
            </w:r>
          </w:p>
        </w:tc>
        <w:tc>
          <w:tcPr>
            <w:tcW w:w="2447"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支出功能分类科目</w:t>
            </w:r>
          </w:p>
        </w:tc>
        <w:tc>
          <w:tcPr>
            <w:tcW w:w="2446"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7338" w:type="dxa"/>
            <w:gridSpan w:val="3"/>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基本支</w:t>
            </w:r>
            <w:r>
              <w:rPr>
                <w:rFonts w:ascii="宋体" w:eastAsia="宋体" w:hAnsi="宋体" w:cs="宋体" w:hint="eastAsia"/>
                <w:i w:val="0"/>
                <w:iCs w:val="0"/>
                <w:color w:val="262626"/>
                <w:kern w:val="0.0"/>
                <w:sz w:val="22"/>
                <w:szCs w:val="22"/>
                <w:u w:val="none"/>
                <w:lang w:val="en-US" w:eastAsia="zh-CN"/>
              </w:rPr>
              <w:t xml:space="preserve">出</w:t>
            </w:r>
            <w:r>
              <w:rPr>
                <w:rFonts w:ascii="宋体" w:eastAsia="宋体" w:hAnsi="宋体" w:cs="宋体" w:hint="eastAsia"/>
                <w:i w:val="0"/>
                <w:iCs w:val="0"/>
                <w:color w:val="262626"/>
                <w:kern w:val="0.0"/>
                <w:sz w:val="22"/>
                <w:szCs w:val="22"/>
                <w:u w:val="none"/>
                <w:lang w:val="en-US" w:eastAsia="zh-CN"/>
              </w:rPr>
              <w:t xml:space="preserve">  </w:t>
            </w:r>
          </w:p>
        </w:tc>
        <w:tc>
          <w:tcPr>
            <w:tcW w:w="2447" w:type="dxa"/>
            <w:vMerge w:val="restart"/>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项目支出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6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科目编码</w:t>
            </w:r>
          </w:p>
        </w:tc>
        <w:tc>
          <w:tcPr>
            <w:tcW w:w="2891"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科目名称</w:t>
            </w:r>
          </w:p>
        </w:tc>
        <w:tc>
          <w:tcPr>
            <w:tcW w:w="2446"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小计</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人员经费</w:t>
            </w:r>
          </w:p>
        </w:tc>
        <w:tc>
          <w:tcPr>
            <w:tcW w:w="2446" w:type="dxa"/>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公用经费</w:t>
            </w:r>
          </w:p>
        </w:tc>
        <w:tc>
          <w:tcPr>
            <w:tcW w:w="2447" w:type="dxa"/>
            <w:vMerge/>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snapToGrid w:val="0"/>
              <w:jc w:val="center"/>
              <w:rPr>
                <w:rFonts w:ascii="宋体" w:eastAsia="宋体" w:hAnsi="宋体" w:cs="宋体" w:hint="eastAsia"/>
                <w:i w:val="0"/>
                <w:iCs w:val="0"/>
                <w:color w:val="262626"/>
                <w:sz w:val="22"/>
                <w:szCs w:val="22"/>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4057" w:type="dxa"/>
            <w:gridSpan w:val="2"/>
            <w:tcBorders>
              <w:top w:val="single" w:sz="4" w:space="0" w:color="000000"/>
              <w:left w:val="single" w:sz="4" w:space="0" w:color="000000"/>
              <w:bottom w:val="single" w:sz="4" w:space="0" w:color="000000"/>
              <w:right w:val="single" w:sz="4" w:space="0" w:color="000000"/>
            </w:tcBorders>
            <w:shd w:val="clear" w:color="000000" w:fill="FFFFFF"/>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262626"/>
                <w:sz w:val="22"/>
                <w:szCs w:val="22"/>
                <w:u w:val="none"/>
              </w:rPr>
            </w:pPr>
            <w:r>
              <w:rPr>
                <w:rFonts w:ascii="宋体" w:eastAsia="宋体" w:hAnsi="宋体" w:cs="宋体" w:hint="eastAsia"/>
                <w:i w:val="0"/>
                <w:iCs w:val="0"/>
                <w:color w:val="262626"/>
                <w:kern w:val="0.0"/>
                <w:sz w:val="22"/>
                <w:szCs w:val="22"/>
                <w:u w:val="none"/>
                <w:lang w:val="en-US" w:eastAsia="zh-CN"/>
              </w:rPr>
              <w:t xml:space="preserve">合计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81719260.20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73913000.00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71986000.00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1927000.00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7806260.20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社会保障和就业支出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人力资源和社会保障管理事务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引进人才费用</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1040000.00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80678560.20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73913000.00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71986000.00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6765560.20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70689879.50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64433000.00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6256879.50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综合医院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6256879.50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6256879.50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其他专科医院</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64433000.00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64433000.00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62506000.00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1927000.00</w:t>
            </w: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公共卫生</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重大公共卫生服务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143680.70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行政事业单位医疗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9480000.00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2101102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事业单位医疗</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6362000.00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2101199</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其他行政事业单位医疗支出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3118000.00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中医药事务</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中医（民族医）药专项</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365000.00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地方政府一般债务付息支出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66"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9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地方政府一般债券付息支出</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6"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p>
        </w:tc>
        <w:tc>
          <w:tcPr>
            <w:tcW w:w="2447"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sz w:val="20"/>
                <w:szCs w:val="20"/>
                <w:u w:val="none"/>
              </w:rPr>
              <w:t xml:space="preserve">700.00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7"/>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0" w:name="_Toc16463"/>
      <w:r>
        <w:rPr>
          <w:rFonts w:ascii="黑体" w:eastAsia="黑体" w:hAnsi="黑体" w:hint="eastAsia"/>
          <w:sz w:val="30"/>
          <w:szCs w:val="30"/>
          <w:lang w:val="en-US" w:eastAsia="zh-CN"/>
        </w:rPr>
        <w:t xml:space="preserve">七、《一般公共预算财政拨款基本支出决算表》</w:t>
      </w:r>
      <w:bookmarkEnd w:id="10"/>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723"/>
        <w:gridCol w:w="2475"/>
        <w:gridCol w:w="2231"/>
        <w:gridCol w:w="754"/>
        <w:gridCol w:w="2444"/>
        <w:gridCol w:w="2231"/>
        <w:gridCol w:w="797"/>
        <w:gridCol w:w="2401"/>
        <w:gridCol w:w="2232"/>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8627" w:type="dxa"/>
            <w:gridSpan w:val="5"/>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231"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797"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633"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5429" w:type="dxa"/>
            <w:gridSpan w:val="3"/>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w:t>
            </w:r>
          </w:p>
        </w:tc>
        <w:tc>
          <w:tcPr>
            <w:tcW w:w="1085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w:t>
            </w:r>
          </w:p>
        </w:tc>
      </w:tr>
      <w:tr>
        <w:tblPrEx>
          <w:tblW w:w="16288" w:type="dxa"/>
          <w:jc w:val="center"/>
          <w:tblLayout w:type="fixed"/>
          <w:tblCellMar>
            <w:top w:w="0" w:type="dxa"/>
            <w:left w:w="108" w:type="dxa"/>
            <w:bottom w:w="0" w:type="dxa"/>
            <w:right w:w="108" w:type="dxa"/>
          </w:tblCellMar>
          <w:tblLook w:val="0000"/>
        </w:tblPrEx>
        <w:trPr>
          <w:trHeight w:hRule="exact" w:val="850"/>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232"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决算数</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62805607.13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1927000.00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国外债务发行费用</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基本工资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1412000.00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津贴补贴</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印刷费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房屋建筑物购建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手续费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办公设备购置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伙食补助费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专用设备购置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绩效工资</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基础设施建设</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机关事业单位基本养老保险缴费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35560000.00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邮电费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大型修缮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职业年金缴费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17781000.00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取暖费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信息网络及软件购置更新</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职工基本医疗保险缴费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6282000.00</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30209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物业管理费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1927000.00</w:t>
            </w: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31008</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物资储备</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公务员医疗补助缴费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差旅费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31009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土地补偿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其他社会保障缴费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30212</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因公出国（境）费用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31010</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安置补助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住房公积金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维</w:t>
            </w:r>
            <w:r>
              <w:rPr>
                <w:rFonts w:ascii="宋体" w:eastAsia="宋体" w:hAnsi="宋体" w:cs="宋体" w:hint="eastAsia"/>
                <w:i w:val="0"/>
                <w:iCs w:val="0"/>
                <w:color w:val="000000"/>
                <w:kern w:val="0.0"/>
                <w:sz w:val="20"/>
                <w:szCs w:val="20"/>
                <w:u w:val="none"/>
                <w:lang w:val="en-US" w:eastAsia="zh-CN"/>
              </w:rPr>
              <w:t xml:space="preserve">修</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护</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地上附着物和青苗补偿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30114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1770607.13</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租赁费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拆迁补偿</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30199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其他工资福利支出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会议费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对个人和家庭的补助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9180392.87</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培训费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31019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其他交通工具购置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离休费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788957.01</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公务接待费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文物和陈列品购置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30302</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退休费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8058868.05</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30218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专用材料费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31022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无形资产购置</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30303</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退职（役）费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30224</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被装购置费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31099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30304</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抚恤金</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30225</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专用燃料费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312</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30305</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生活补助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30226</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劳务费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31201</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资本金注入</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30306</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救济费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30227</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委托业务费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31203</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政府投资基金股权投资</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30307</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医疗费补助</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r>
              <w:rPr>
                <w:rFonts w:ascii="Times New Roman" w:eastAsia="宋体" w:hAnsi="Times New Roman" w:cs="Times New Roman" w:hint="default"/>
                <w:i w:val="0"/>
                <w:iCs w:val="0"/>
                <w:color w:val="000000"/>
                <w:kern w:val="0.0"/>
                <w:sz w:val="20"/>
                <w:szCs w:val="20"/>
                <w:u w:val="none"/>
                <w:lang w:val="en-US" w:eastAsia="zh-CN"/>
              </w:rPr>
              <w:t xml:space="preserve">332567.81</w:t>
            </w: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30228</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工会经费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31204</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费用补贴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30308</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助学金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30229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福利费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31205</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利息补贴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30309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奖励金</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30231</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公务用车运行维护费</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31206</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其他资本性补助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30310</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个人农业生产补贴</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30239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其他交通费用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31299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其他对企业补助</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30311</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代缴社会保险费</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30240</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税金及附加费用</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399</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30399</w:t>
            </w: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其他对个人和家庭的补助</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30299</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其他商品和服务支出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39907</w:t>
            </w:r>
          </w:p>
        </w:tc>
        <w:tc>
          <w:tcPr>
            <w:tcW w:w="240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国家赔偿费用支出</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794"/>
          <w:jc w:val="center"/>
        </w:trPr>
        <w:tc>
          <w:tcPr>
            <w:tcW w:w="723"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307</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债务利息及费用支出</w:t>
            </w:r>
          </w:p>
        </w:tc>
        <w:tc>
          <w:tcPr>
            <w:tcW w:w="223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39908</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对民间非营利组织和群众性自治组织补贴</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30701</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39909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经常性赠与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30702</w:t>
            </w:r>
          </w:p>
        </w:tc>
        <w:tc>
          <w:tcPr>
            <w:tcW w:w="2444"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国外债务付息</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39910</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资本性赠与</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723" w:type="dxa"/>
            <w:tcBorders>
              <w:top w:val="single" w:sz="4" w:space="0" w:color="000000"/>
              <w:left w:val="single" w:sz="4" w:space="0" w:color="000000"/>
              <w:bottom w:val="nil"/>
              <w:right w:val="single" w:sz="4" w:space="0" w:color="000000"/>
            </w:tcBorders>
            <w:noWrap w:val="1"/>
            <w:vAlign w:val="center"/>
          </w:tcPr>
          <w:p>
            <w:pPr>
              <w:divId w:val="0"/>
              <w:snapToGrid w:val="0"/>
              <w:jc w:val="left"/>
              <w:rPr>
                <w:rFonts w:ascii="宋体" w:eastAsia="宋体" w:hAnsi="宋体" w:cs="宋体" w:hint="eastAsia"/>
                <w:i w:val="0"/>
                <w:iCs w:val="0"/>
                <w:color w:val="000000"/>
                <w:sz w:val="20"/>
                <w:szCs w:val="20"/>
                <w:u w:val="none"/>
              </w:rPr>
            </w:pPr>
          </w:p>
        </w:tc>
        <w:tc>
          <w:tcPr>
            <w:tcW w:w="2475" w:type="dxa"/>
            <w:tcBorders>
              <w:top w:val="single" w:sz="4" w:space="0" w:color="000000"/>
              <w:left w:val="single" w:sz="4" w:space="0" w:color="000000"/>
              <w:bottom w:val="nil"/>
              <w:right w:val="single" w:sz="4" w:space="0" w:color="000000"/>
            </w:tcBorders>
            <w:noWrap w:val="1"/>
            <w:vAlign w:val="center"/>
          </w:tcPr>
          <w:p>
            <w:pPr>
              <w:divId w:val="0"/>
              <w:snapToGrid w:val="0"/>
              <w:rPr>
                <w:rFonts w:ascii="宋体" w:eastAsia="宋体" w:hAnsi="宋体" w:cs="宋体" w:hint="eastAsia"/>
                <w:i w:val="0"/>
                <w:iCs w:val="0"/>
                <w:color w:val="000000"/>
                <w:sz w:val="20"/>
                <w:szCs w:val="20"/>
                <w:u w:val="none"/>
              </w:rPr>
            </w:pPr>
          </w:p>
        </w:tc>
        <w:tc>
          <w:tcPr>
            <w:tcW w:w="2231" w:type="dxa"/>
            <w:tcBorders>
              <w:top w:val="single" w:sz="4" w:space="0" w:color="000000"/>
              <w:left w:val="single" w:sz="4" w:space="0" w:color="000000"/>
              <w:bottom w:val="nil"/>
              <w:right w:val="single" w:sz="4" w:space="0" w:color="000000"/>
            </w:tcBorders>
            <w:noWrap w:val="1"/>
            <w:vAlign w:val="center"/>
          </w:tcPr>
          <w:p>
            <w:pPr>
              <w:divId w:val="0"/>
              <w:snapToGrid w:val="0"/>
              <w:jc w:val="right"/>
              <w:rPr>
                <w:rFonts w:ascii="Times New Roman" w:eastAsia="宋体" w:hAnsi="Times New Roman" w:cs="Times New Roman" w:hint="default"/>
                <w:i w:val="0"/>
                <w:iCs w:val="0"/>
                <w:color w:val="000000"/>
                <w:kern w:val="0.0"/>
                <w:sz w:val="20"/>
                <w:szCs w:val="20"/>
                <w:u w:val="none"/>
                <w:lang w:val="en-US" w:eastAsia="zh-CN"/>
              </w:rPr>
            </w:pPr>
          </w:p>
        </w:tc>
        <w:tc>
          <w:tcPr>
            <w:tcW w:w="7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30703</w:t>
            </w:r>
          </w:p>
        </w:tc>
        <w:tc>
          <w:tcPr>
            <w:tcW w:w="244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国内债务发行费用</w:t>
            </w:r>
          </w:p>
        </w:tc>
        <w:tc>
          <w:tcPr>
            <w:tcW w:w="2231"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c>
          <w:tcPr>
            <w:tcW w:w="797"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39999</w:t>
            </w:r>
          </w:p>
        </w:tc>
        <w:tc>
          <w:tcPr>
            <w:tcW w:w="2401" w:type="dxa"/>
            <w:tcBorders>
              <w:top w:val="single" w:sz="4" w:space="0" w:color="000000"/>
              <w:left w:val="single" w:sz="4" w:space="0" w:color="000000"/>
              <w:bottom w:val="nil"/>
              <w:right w:val="single" w:sz="4" w:space="0" w:color="000000"/>
            </w:tcBorders>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其他支出</w:t>
            </w:r>
          </w:p>
        </w:tc>
        <w:tc>
          <w:tcPr>
            <w:tcW w:w="2232" w:type="dxa"/>
            <w:tcBorders>
              <w:top w:val="single" w:sz="4" w:space="0" w:color="000000"/>
              <w:left w:val="single" w:sz="4" w:space="0" w:color="000000"/>
              <w:bottom w:val="nil"/>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i w:val="0"/>
                <w:iCs w:val="0"/>
                <w:color w:val="000000"/>
                <w:kern w:val="0.0"/>
                <w:sz w:val="20"/>
                <w:szCs w:val="20"/>
                <w:u w:val="none"/>
                <w:lang w:val="en-US" w:eastAsia="zh-CN"/>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198" w:type="dxa"/>
            <w:gridSpan w:val="2"/>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人员经费合计</w:t>
            </w:r>
          </w:p>
        </w:tc>
        <w:tc>
          <w:tcPr>
            <w:tcW w:w="2231"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71986000.00</w:t>
            </w:r>
          </w:p>
        </w:tc>
        <w:tc>
          <w:tcPr>
            <w:tcW w:w="8627" w:type="dxa"/>
            <w:gridSpan w:val="5"/>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b/>
                <w:bCs/>
                <w:i w:val="0"/>
                <w:iCs w:val="0"/>
                <w:color w:val="000000"/>
                <w:sz w:val="20"/>
                <w:szCs w:val="20"/>
                <w:u w:val="none"/>
              </w:rPr>
            </w:pPr>
            <w:r>
              <w:rPr>
                <w:rFonts w:ascii="宋体" w:eastAsia="宋体" w:hAnsi="宋体" w:cs="宋体" w:hint="eastAsia"/>
                <w:b/>
                <w:bCs/>
                <w:i w:val="0"/>
                <w:iCs w:val="0"/>
                <w:color w:val="000000"/>
                <w:kern w:val="0.0"/>
                <w:sz w:val="20"/>
                <w:szCs w:val="20"/>
                <w:u w:val="none"/>
                <w:lang w:val="en-US" w:eastAsia="zh-CN"/>
              </w:rPr>
              <w:t xml:space="preserve">公用经费合计</w:t>
            </w:r>
          </w:p>
        </w:tc>
        <w:tc>
          <w:tcPr>
            <w:tcW w:w="2232"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textAlignment w:val="center"/>
              <w:rPr>
                <w:rFonts w:ascii="Times New Roman" w:eastAsia="宋体" w:hAnsi="Times New Roman" w:cs="Times New Roman" w:hint="default"/>
                <w:b/>
                <w:bCs/>
                <w:i w:val="0"/>
                <w:iCs w:val="0"/>
                <w:color w:val="000000"/>
                <w:sz w:val="20"/>
                <w:szCs w:val="20"/>
                <w:u w:val="none"/>
              </w:rPr>
            </w:pPr>
            <w:r>
              <w:rPr>
                <w:rFonts w:ascii="Times New Roman" w:eastAsia="宋体" w:hAnsi="Times New Roman" w:cs="Times New Roman" w:hint="default"/>
                <w:b/>
                <w:bCs/>
                <w:i w:val="0"/>
                <w:iCs w:val="0"/>
                <w:color w:val="000000"/>
                <w:kern w:val="0.0"/>
                <w:sz w:val="20"/>
                <w:szCs w:val="20"/>
                <w:u w:val="none"/>
                <w:lang w:val="en-US" w:eastAsia="zh-CN"/>
              </w:rPr>
              <w:t xml:space="preserve">1927000.00</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9"/>
            <w:tcBorders>
              <w:top w:val="single" w:sz="4" w:space="0" w:color="000000"/>
              <w:left w:val="nil"/>
              <w:bottom w:val="nil"/>
              <w:right w:val="nil"/>
            </w:tcBorders>
            <w:noWrap w:val="1"/>
            <w:vAlign w:val="center"/>
          </w:tcPr>
          <w:p>
            <w:pPr>
              <w:pStyle w:val="普通(网站)"/>
              <w:keepNext w:val="0"/>
              <w:keepLines w:val="0"/>
              <w:widowControl/>
              <w:suppressLineNumbers w:val="0"/>
              <w:snapToGrid w:val="0"/>
              <w:spacing w:before="60" w:beforeAutospacing="0" w:after="60" w:afterAutospacing="0"/>
              <w:ind w:left="0" w:right="0" w:leftChars="0" w:rightChars="0"/>
              <w:jc w:val="left"/>
              <w:rPr>
                <w:rFonts w:ascii="宋体" w:eastAsia="宋体" w:hAnsi="宋体" w:cs="宋体" w:hint="eastAsia"/>
                <w:b/>
                <w:bCs/>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注：本表反映本年度一般公共预算财政拨款支出情况。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1" w:name="_Toc360"/>
      <w:r>
        <w:rPr>
          <w:rFonts w:ascii="黑体" w:eastAsia="黑体" w:hAnsi="黑体" w:hint="eastAsia"/>
          <w:b/>
          <w:bCs/>
          <w:sz w:val="30"/>
          <w:szCs w:val="30"/>
          <w:lang w:val="en-US" w:eastAsia="zh-CN"/>
        </w:rPr>
        <w:t xml:space="preserve">八、《政府性基金预算财政拨款收入支出决算表》</w:t>
      </w:r>
      <w:bookmarkEnd w:id="11"/>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35"/>
        <w:gridCol w:w="2828"/>
        <w:gridCol w:w="2070"/>
        <w:gridCol w:w="2071"/>
        <w:gridCol w:w="2071"/>
        <w:gridCol w:w="2071"/>
        <w:gridCol w:w="2071"/>
        <w:gridCol w:w="207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tblHeader/>
          <w:jc w:val="center"/>
        </w:trPr>
        <w:tc>
          <w:tcPr>
            <w:tcW w:w="10075" w:type="dxa"/>
            <w:gridSpan w:val="5"/>
            <w:tcBorders>
              <w:top w:val="nil"/>
              <w:left w:val="nil"/>
              <w:bottom w:val="nil"/>
              <w:right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071" w:type="dxa"/>
            <w:tcBorders>
              <w:top w:val="nil"/>
              <w:left w:val="nil"/>
              <w:bottom w:val="nil"/>
              <w:right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支出功能分类科目</w:t>
            </w:r>
          </w:p>
        </w:tc>
        <w:tc>
          <w:tcPr>
            <w:tcW w:w="2070"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621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28"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207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35"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828"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0"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207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3863"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070"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69000000.00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69000000.00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kern w:val="0.0"/>
                <w:sz w:val="20"/>
                <w:szCs w:val="20"/>
                <w:u w:val="none"/>
                <w:lang w:val="en-US" w:eastAsia="zh-CN"/>
              </w:rPr>
              <w:t xml:space="preserve">69000000.00</w:t>
            </w:r>
          </w:p>
        </w:tc>
        <w:tc>
          <w:tcPr>
            <w:tcW w:w="207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卫生健康支出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超长期特别国债安排的支出</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35"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2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公立医院</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71"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注：本表反映本年度政府性基金预算财政拨款收入、支出及结转和结余情况。</w:t>
            </w:r>
          </w:p>
        </w:tc>
      </w:tr>
    </w:tbl>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2" w:name="_Toc22450"/>
      <w:r>
        <w:rPr>
          <w:rFonts w:ascii="黑体" w:eastAsia="黑体" w:hAnsi="黑体" w:hint="eastAsia"/>
          <w:b/>
          <w:bCs/>
          <w:sz w:val="30"/>
          <w:szCs w:val="30"/>
          <w:lang w:val="en-US" w:eastAsia="zh-CN"/>
        </w:rPr>
        <w:t xml:space="preserve">九、《国有资本经营预算财政拨款收入支出决算表》</w:t>
      </w:r>
      <w:bookmarkEnd w:id="12"/>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059"/>
        <w:gridCol w:w="4663"/>
        <w:gridCol w:w="1761"/>
        <w:gridCol w:w="1761"/>
        <w:gridCol w:w="1761"/>
        <w:gridCol w:w="1761"/>
        <w:gridCol w:w="1761"/>
        <w:gridCol w:w="1761"/>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tblHeader/>
          <w:jc w:val="center"/>
        </w:trPr>
        <w:tc>
          <w:tcPr>
            <w:tcW w:w="9244" w:type="dxa"/>
            <w:gridSpan w:val="4"/>
            <w:tcBorders>
              <w:top w:val="nil"/>
              <w:left w:val="nil"/>
              <w:bottom w:val="nil"/>
              <w:right w:val="nil"/>
            </w:tcBorders>
            <w:noWrap w:val="1"/>
            <w:vAlign w:val="center"/>
          </w:tcPr>
          <w:p>
            <w:pPr>
              <w:divId w:val="0"/>
              <w:snapToGrid w:val="0"/>
              <w:jc w:val="left"/>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vAlign w:val="center"/>
          </w:tcPr>
          <w:p>
            <w:pPr>
              <w:divId w:val="0"/>
              <w:snapToGrid w:val="0"/>
              <w:rPr>
                <w:rFonts w:ascii="宋体" w:eastAsia="宋体" w:hAnsi="宋体" w:cs="宋体" w:hint="eastAsia"/>
                <w:i w:val="0"/>
                <w:iCs w:val="0"/>
                <w:color w:val="000000"/>
                <w:sz w:val="20"/>
                <w:szCs w:val="20"/>
                <w:u w:val="none"/>
              </w:rPr>
            </w:pPr>
          </w:p>
        </w:tc>
        <w:tc>
          <w:tcPr>
            <w:tcW w:w="1761" w:type="dxa"/>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w:t>
            </w:r>
            <w:r>
              <w:rPr>
                <w:rFonts w:ascii="宋体" w:eastAsia="宋体" w:hAnsi="宋体" w:cs="宋体" w:hint="eastAsia"/>
                <w:i w:val="0"/>
                <w:iCs w:val="0"/>
                <w:color w:val="000000"/>
                <w:kern w:val="0.0"/>
                <w:sz w:val="20"/>
                <w:szCs w:val="20"/>
                <w:u w:val="none"/>
                <w:lang w:val="en-US" w:eastAsia="zh-CN"/>
              </w:rPr>
              <w:t xml:space="preserve"> </w:t>
            </w:r>
            <w:r>
              <w:rPr>
                <w:rStyle w:val="font11"/>
                <w:sz w:val="20"/>
                <w:szCs w:val="20"/>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目</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年初结转和结余</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本年收入</w:t>
            </w:r>
          </w:p>
        </w:tc>
        <w:tc>
          <w:tcPr>
            <w:tcW w:w="5283" w:type="dxa"/>
            <w:gridSpan w:val="3"/>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本年支出</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年末结转和结余</w:t>
            </w: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4663"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基本支</w:t>
            </w:r>
            <w:r>
              <w:rPr>
                <w:rFonts w:ascii="宋体" w:eastAsia="宋体" w:hAnsi="宋体" w:cs="宋体" w:hint="eastAsia"/>
                <w:i w:val="0"/>
                <w:iCs w:val="0"/>
                <w:color w:val="000000"/>
                <w:kern w:val="0.0"/>
                <w:sz w:val="20"/>
                <w:szCs w:val="20"/>
                <w:u w:val="none"/>
                <w:lang w:val="en-US" w:eastAsia="zh-CN"/>
              </w:rPr>
              <w:t xml:space="preserve">出</w:t>
            </w:r>
            <w:r>
              <w:rPr>
                <w:rFonts w:ascii="宋体" w:eastAsia="宋体" w:hAnsi="宋体" w:cs="宋体" w:hint="eastAsia"/>
                <w:i w:val="0"/>
                <w:iCs w:val="0"/>
                <w:color w:val="000000"/>
                <w:kern w:val="0.0"/>
                <w:sz w:val="20"/>
                <w:szCs w:val="20"/>
                <w:u w:val="none"/>
                <w:lang w:val="en-US" w:eastAsia="zh-CN"/>
              </w:rPr>
              <w:t xml:space="preserve">  </w:t>
            </w:r>
          </w:p>
        </w:tc>
        <w:tc>
          <w:tcPr>
            <w:tcW w:w="1761" w:type="dxa"/>
            <w:vMerge w:val="restart"/>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项目支出</w:t>
            </w: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tblHeader/>
          <w:jc w:val="center"/>
        </w:trPr>
        <w:tc>
          <w:tcPr>
            <w:tcW w:w="1059"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4663"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c>
          <w:tcPr>
            <w:tcW w:w="1761" w:type="dxa"/>
            <w:vMerge/>
            <w:tcBorders>
              <w:top w:val="single" w:sz="4" w:space="0" w:color="000000"/>
              <w:left w:val="single" w:sz="4" w:space="0" w:color="000000"/>
              <w:bottom w:val="single" w:sz="4" w:space="0" w:color="000000"/>
              <w:right w:val="single" w:sz="4" w:space="0" w:color="000000"/>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tblHeader/>
          <w:jc w:val="center"/>
        </w:trPr>
        <w:tc>
          <w:tcPr>
            <w:tcW w:w="5722"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tblHeader/>
          <w:jc w:val="center"/>
        </w:trPr>
        <w:tc>
          <w:tcPr>
            <w:tcW w:w="1059"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466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c>
          <w:tcPr>
            <w:tcW w:w="1761"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注：本表反映本年度国有资本</w:t>
            </w:r>
            <w:r>
              <w:rPr>
                <w:rFonts w:ascii="宋体" w:eastAsia="宋体" w:hAnsi="宋体" w:cs="宋体" w:hint="eastAsia"/>
                <w:b w:val="0"/>
                <w:bCs w:val="0"/>
                <w:i w:val="0"/>
                <w:iCs w:val="0"/>
                <w:color w:val="000000"/>
                <w:kern w:val="0.0"/>
                <w:sz w:val="20"/>
                <w:szCs w:val="20"/>
                <w:u w:val="none"/>
                <w:lang w:val="en-US" w:eastAsia="zh-CN"/>
              </w:rPr>
              <w:t xml:space="preserve">经营预算财政拨款收入、支</w:t>
            </w:r>
            <w:r>
              <w:rPr>
                <w:rFonts w:ascii="宋体" w:eastAsia="宋体" w:hAnsi="宋体" w:cs="宋体" w:hint="eastAsia"/>
                <w:i w:val="0"/>
                <w:iCs w:val="0"/>
                <w:color w:val="000000"/>
                <w:kern w:val="0.0"/>
                <w:sz w:val="20"/>
                <w:szCs w:val="20"/>
                <w:u w:val="none"/>
                <w:lang w:val="en-US" w:eastAsia="zh-CN"/>
              </w:rPr>
              <w:t xml:space="preserve">出及结转和结余情况。</w:t>
            </w:r>
          </w:p>
        </w:tc>
      </w:tr>
    </w:tbl>
    <w:p>
      <w:pPr>
        <w:divId w:val="0"/>
        <w:keepNext w:val="0"/>
        <w:keepLines w:val="0"/>
        <w:widowControl/>
        <w:suppressLineNumbers w:val="0"/>
        <w:snapToGrid w:val="0"/>
        <w:ind w:left="-960" w:firstLine="0" w:leftChars="-400" w:firstLineChars="0"/>
        <w:jc w:val="left"/>
        <w:textAlignment w:val="center"/>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天津市天津医院2025年度国有资本经营预算财政拨款收入支出决算表为空表。</w:t>
      </w:r>
    </w:p>
    <w:p>
      <w:pPr>
        <w:pStyle w:val="标题2"/>
        <w:wordWrap w:val="0"/>
        <w:spacing w:before="0" w:after="0" w:line="800" w:lineRule="exact"/>
        <w:ind w:firstLine="600" w:firstLineChars="200"/>
        <w:rPr>
          <w:rFonts w:ascii="黑体" w:eastAsia="黑体" w:hAnsi="黑体" w:hint="eastAsia"/>
          <w:sz w:val="30"/>
          <w:szCs w:val="30"/>
          <w:lang w:val="en-US" w:eastAsia="zh-CN"/>
        </w:rPr>
      </w:pPr>
      <w:r>
        <w:rPr>
          <w:rFonts w:ascii="黑体" w:eastAsia="黑体" w:hAnsi="仿宋" w:hint="eastAsia"/>
          <w:sz w:val="21"/>
          <w:szCs w:val="21"/>
          <w:lang w:val="en-US" w:eastAsia="zh-CN"/>
        </w:rPr>
        <w:br w:type="page"/>
      </w:r>
      <w:bookmarkStart w:id="13" w:name="_Toc25280"/>
      <w:r>
        <w:rPr>
          <w:rFonts w:ascii="黑体" w:eastAsia="黑体" w:hAnsi="黑体" w:hint="eastAsia"/>
          <w:b/>
          <w:bCs/>
          <w:sz w:val="30"/>
          <w:szCs w:val="30"/>
          <w:lang w:val="en-US" w:eastAsia="zh-CN"/>
        </w:rPr>
        <w:t xml:space="preserve">十、《财政拨款“三公”经费支出决算表》</w:t>
      </w:r>
      <w:bookmarkEnd w:id="13"/>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2668"/>
        <w:gridCol w:w="3018"/>
        <w:gridCol w:w="2668"/>
        <w:gridCol w:w="2668"/>
        <w:gridCol w:w="2669"/>
        <w:gridCol w:w="2597"/>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hRule="auto" w:val="0"/>
          <w:jc w:val="center"/>
        </w:trPr>
        <w:tc>
          <w:tcPr>
            <w:tcW w:w="9448" w:type="dxa"/>
            <w:gridSpan w:val="4"/>
            <w:tcBorders>
              <w:bottom w:val="single" w:sz="4" w:space="0" w:color="auto"/>
              <w:tl2br w:val="nil"/>
              <w:tr2bl w:val="nil"/>
            </w:tcBorders>
            <w:shd w:val="clear" w:color="auto" w:fill="FFFFFF"/>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299" w:type="dxa"/>
            <w:tcBorders>
              <w:bottom w:val="single" w:sz="4" w:space="0" w:color="auto"/>
              <w:tl2br w:val="nil"/>
              <w:tr2bl w:val="nil"/>
            </w:tcBorders>
            <w:shd w:val="clear" w:color="auto" w:fill="FFFFFF"/>
            <w:vAlign w:val="center"/>
          </w:tcPr>
          <w:p>
            <w:pPr>
              <w:divId w:val="0"/>
              <w:snapToGrid w:val="0"/>
              <w:rPr>
                <w:rFonts w:ascii="宋体" w:eastAsia="宋体" w:hAnsi="宋体" w:cs="宋体" w:hint="eastAsia"/>
                <w:i w:val="0"/>
                <w:iCs w:val="0"/>
                <w:color w:val="000000"/>
                <w:sz w:val="20"/>
                <w:szCs w:val="20"/>
                <w:u w:val="none"/>
              </w:rPr>
            </w:pPr>
          </w:p>
        </w:tc>
        <w:tc>
          <w:tcPr>
            <w:tcW w:w="2299" w:type="dxa"/>
            <w:tcBorders>
              <w:bottom w:val="single" w:sz="4" w:space="0" w:color="auto"/>
              <w:tl2br w:val="nil"/>
              <w:tr2bl w:val="nil"/>
            </w:tcBorders>
            <w:shd w:val="clear" w:color="auto" w:fill="FFFFFF"/>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合计</w:t>
            </w:r>
          </w:p>
        </w:tc>
        <w:tc>
          <w:tcPr>
            <w:tcW w:w="2362"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因公出国（境）费</w:t>
            </w:r>
          </w:p>
        </w:tc>
        <w:tc>
          <w:tcPr>
            <w:tcW w:w="7087" w:type="dxa"/>
            <w:gridSpan w:val="3"/>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公务用车购置及运行维护费</w:t>
            </w:r>
          </w:p>
        </w:tc>
        <w:tc>
          <w:tcPr>
            <w:tcW w:w="2299" w:type="dxa"/>
            <w:vMerge w:val="restart"/>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公务接待费</w:t>
            </w: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小计</w:t>
            </w:r>
          </w:p>
        </w:tc>
        <w:tc>
          <w:tcPr>
            <w:tcW w:w="236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购置费</w:t>
            </w: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公务用车</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运行维护费</w:t>
            </w:r>
          </w:p>
        </w:tc>
        <w:tc>
          <w:tcPr>
            <w:tcW w:w="2299" w:type="dxa"/>
            <w:vMerge/>
            <w:tcBorders>
              <w:top w:val="single" w:sz="4" w:space="0" w:color="auto"/>
              <w:left w:val="single" w:sz="4" w:space="0" w:color="auto"/>
              <w:bottom w:val="single" w:sz="4" w:space="0" w:color="auto"/>
              <w:right w:val="single" w:sz="4" w:space="0" w:color="auto"/>
            </w:tcBorders>
            <w:vAlign w:val="center"/>
          </w:tcPr>
          <w:p>
            <w:pPr>
              <w:divId w:val="0"/>
              <w:snapToGrid w:val="0"/>
              <w:jc w:val="center"/>
              <w:rPr>
                <w:rFonts w:ascii="宋体" w:eastAsia="宋体" w:hAnsi="宋体" w:cs="宋体" w:hint="eastAsia"/>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2298"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672"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301"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299" w:type="dxa"/>
            <w:tcBorders>
              <w:top w:val="single" w:sz="4" w:space="0" w:color="auto"/>
              <w:left w:val="single" w:sz="4" w:space="0" w:color="auto"/>
              <w:bottom w:val="single" w:sz="4" w:space="0" w:color="auto"/>
              <w:right w:val="single" w:sz="4" w:space="0" w:color="auto"/>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r>
      <w:tr>
        <w:tblPrEx>
          <w:tblW w:w="16288" w:type="dxa"/>
          <w:jc w:val="center"/>
          <w:tblLayout w:type="fixed"/>
          <w:tblCellMar>
            <w:top w:w="0" w:type="dxa"/>
            <w:left w:w="108" w:type="dxa"/>
            <w:bottom w:w="0" w:type="dxa"/>
            <w:right w:w="108" w:type="dxa"/>
          </w:tblCellMar>
          <w:tblLook w:val="0000"/>
        </w:tblPrEx>
        <w:trPr>
          <w:trHeight w:hRule="auto" w:val="0"/>
          <w:jc w:val="center"/>
        </w:trPr>
        <w:tc>
          <w:tcPr>
            <w:tcW w:w="14168" w:type="dxa"/>
            <w:gridSpan w:val="6"/>
            <w:tcBorders>
              <w:top w:val="single" w:sz="4" w:space="0" w:color="auto"/>
              <w:tl2br w:val="nil"/>
              <w:tr2bl w:val="nil"/>
            </w:tcBorders>
            <w:vAlign w:val="center"/>
          </w:tcPr>
          <w:p>
            <w:pPr>
              <w:divId w:val="0"/>
              <w:snapToGrid w:val="0"/>
              <w:jc w:val="left"/>
              <w:rPr>
                <w:rFonts w:ascii="等线" w:eastAsia="等线" w:hAnsi="等线" w:cs="等线"/>
                <w:b w:val="0"/>
                <w:bCs w:val="0"/>
                <w:i w:val="0"/>
                <w:iCs w:val="0"/>
                <w:color w:val="333333"/>
                <w:spacing w:val="0"/>
                <w:w w:val="100"/>
                <w:sz w:val="20"/>
                <w:szCs w:val="20"/>
                <w:vertAlign w:val="baseline"/>
              </w:rPr>
            </w:pPr>
            <w:r>
              <w:rPr>
                <w:rFonts w:ascii="宋体" w:eastAsia="宋体" w:hAnsi="宋体" w:cs="宋体" w:hint="eastAsia"/>
                <w:i w:val="0"/>
                <w:iCs w:val="0"/>
                <w:color w:val="000000"/>
                <w:kern w:val="0.0"/>
                <w:sz w:val="20"/>
                <w:szCs w:val="20"/>
                <w:u w:val="none"/>
                <w:lang w:val="en-US" w:eastAsia="zh-CN"/>
              </w:rPr>
              <w:t xml:space="preserve">注：本表反映本年度一般公共预算和政府性基金预</w:t>
            </w:r>
            <w:r>
              <w:rPr>
                <w:rFonts w:ascii="宋体" w:eastAsia="宋体" w:hAnsi="宋体" w:cs="宋体" w:hint="eastAsia"/>
                <w:i w:val="0"/>
                <w:iCs w:val="0"/>
                <w:color w:val="000000"/>
                <w:kern w:val="0.0"/>
                <w:sz w:val="20"/>
                <w:szCs w:val="20"/>
                <w:u w:val="none"/>
                <w:lang w:val="en-US" w:eastAsia="zh-CN"/>
              </w:rPr>
              <w:t xml:space="preserve">算</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三</w:t>
            </w:r>
            <w:r>
              <w:rPr>
                <w:rFonts w:ascii="宋体" w:eastAsia="宋体" w:hAnsi="宋体" w:cs="宋体" w:hint="eastAsia"/>
                <w:i w:val="0"/>
                <w:iCs w:val="0"/>
                <w:color w:val="000000"/>
                <w:kern w:val="0.0"/>
                <w:sz w:val="20"/>
                <w:szCs w:val="20"/>
                <w:u w:val="none"/>
                <w:lang w:val="en-US" w:eastAsia="zh-CN"/>
              </w:rPr>
              <w:t xml:space="preserve">公</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i w:val="0"/>
                <w:iCs w:val="0"/>
                <w:color w:val="000000"/>
                <w:kern w:val="0.0"/>
                <w:sz w:val="20"/>
                <w:szCs w:val="20"/>
                <w:u w:val="none"/>
                <w:lang w:val="en-US" w:eastAsia="zh-CN"/>
              </w:rPr>
              <w:t xml:space="preserve">经费支出决算情况。</w:t>
            </w:r>
          </w:p>
        </w:tc>
      </w:tr>
    </w:tbl>
    <w:p>
      <w:pPr>
        <w:divId w:val="0"/>
        <w:snapToGrid w:val="0"/>
        <w:ind w:left="-960" w:firstLine="0" w:leftChars="-400" w:firstLineChars="0"/>
        <w:jc w:val="left"/>
        <w:rPr>
          <w:rFonts w:ascii="宋体" w:eastAsia="宋体" w:hAnsi="宋体" w:cs="宋体" w:hint="eastAsia"/>
          <w:i w:val="0"/>
          <w:iCs w:val="0"/>
          <w:color w:val="000000"/>
          <w:kern w:val="0.0"/>
          <w:sz w:val="20"/>
          <w:szCs w:val="20"/>
          <w:u w:val="none"/>
          <w:lang w:val="en-US" w:eastAsia="zh-CN"/>
        </w:rPr>
      </w:pPr>
      <w:r>
        <w:rPr>
          <w:rFonts w:ascii="宋体" w:eastAsia="宋体" w:hAnsi="宋体" w:cs="宋体" w:hint="eastAsia"/>
          <w:i w:val="0"/>
          <w:iCs w:val="0"/>
          <w:color w:val="000000"/>
          <w:kern w:val="0.0"/>
          <w:sz w:val="20"/>
          <w:szCs w:val="20"/>
          <w:u w:val="none"/>
          <w:lang w:val="en-US" w:eastAsia="zh-CN"/>
        </w:rPr>
        <w:t xml:space="preserve">天津市天津医院2025年财政拨款“三公”经费支出决算表为空表。</w:t>
      </w:r>
    </w:p>
    <w:p>
      <w:pPr>
        <w:pStyle w:val="标题2"/>
        <w:wordWrap w:val="0"/>
        <w:spacing w:before="0" w:after="0" w:line="800" w:lineRule="exact"/>
        <w:ind w:firstLine="600" w:firstLineChars="200"/>
        <w:rPr>
          <w:rFonts w:ascii="黑体" w:eastAsia="黑体" w:hAnsi="黑体" w:hint="eastAsia"/>
          <w:b w:val="0"/>
          <w:sz w:val="30"/>
          <w:szCs w:val="30"/>
          <w:highlight w:val="none"/>
        </w:rPr>
      </w:pPr>
      <w:r>
        <w:rPr>
          <w:rFonts w:ascii="黑体" w:eastAsia="黑体" w:hAnsi="仿宋" w:hint="eastAsia"/>
          <w:sz w:val="21"/>
          <w:szCs w:val="21"/>
          <w:lang w:val="en-US" w:eastAsia="zh-CN"/>
        </w:rPr>
        <w:br w:type="page"/>
      </w:r>
      <w:bookmarkStart w:id="14" w:name="_Toc18372"/>
      <w:r>
        <w:rPr>
          <w:rFonts w:ascii="黑体" w:eastAsia="黑体" w:hAnsi="黑体" w:hint="eastAsia"/>
          <w:b/>
          <w:bCs/>
          <w:sz w:val="30"/>
          <w:szCs w:val="30"/>
          <w:lang w:val="en-US" w:eastAsia="zh-CN"/>
        </w:rPr>
        <w:t xml:space="preserve">十一、《项目支出决算表》</w:t>
      </w:r>
      <w:bookmarkEnd w:id="14"/>
    </w:p>
    <w:tbl>
      <w:tblPr>
        <w:tblStyle w:val="普通表格"/>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
      <w:tblGrid>
        <w:gridCol w:w="1131"/>
        <w:gridCol w:w="2838"/>
        <w:gridCol w:w="2053"/>
        <w:gridCol w:w="2053"/>
        <w:gridCol w:w="2053"/>
        <w:gridCol w:w="2053"/>
        <w:gridCol w:w="2053"/>
        <w:gridCol w:w="2054"/>
      </w:tblGrid>
      <w:tr>
        <w:tblPrEx>
          <w:tblW w:w="1628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108" w:type="dxa"/>
            <w:bottom w:w="0" w:type="dxa"/>
            <w:right w:w="108" w:type="dxa"/>
          </w:tblCellMar>
          <w:tblLook w:val="0000"/>
        </w:tblPrEx>
        <w:trPr>
          <w:trHeight w:val="567"/>
          <w:jc w:val="center"/>
        </w:trPr>
        <w:tc>
          <w:tcPr>
            <w:tcW w:w="8075" w:type="dxa"/>
            <w:gridSpan w:val="4"/>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r>
              <w:rPr>
                <w:rFonts w:ascii="宋体" w:hAnsi="宋体" w:cs="宋体" w:hint="eastAsia"/>
                <w:i w:val="0"/>
                <w:iCs w:val="0"/>
                <w:color w:val="000000"/>
                <w:kern w:val="0.0"/>
                <w:sz w:val="20"/>
                <w:szCs w:val="20"/>
                <w:u w:val="none"/>
                <w:lang w:val="en-US" w:eastAsia="zh-CN"/>
              </w:rPr>
              <w:t xml:space="preserve">单位</w:t>
            </w:r>
            <w:r>
              <w:rPr>
                <w:rFonts w:ascii="宋体" w:eastAsia="宋体" w:hAnsi="宋体" w:cs="宋体" w:hint="eastAsia"/>
                <w:i w:val="0"/>
                <w:iCs w:val="0"/>
                <w:color w:val="000000"/>
                <w:kern w:val="0.0"/>
                <w:sz w:val="20"/>
                <w:szCs w:val="20"/>
                <w:u w:val="none"/>
                <w:lang w:val="en-US" w:eastAsia="zh-CN"/>
              </w:rPr>
              <w:t xml:space="preserve">：</w:t>
            </w:r>
            <w:r>
              <w:rPr>
                <w:rFonts w:ascii="宋体" w:eastAsia="宋体" w:hAnsi="宋体" w:cs="宋体" w:hint="eastAsia"/>
                <w:sz w:val="20"/>
                <w:szCs w:val="20"/>
                <w:lang w:val="en-US" w:eastAsia="zh-CN"/>
              </w:rPr>
              <w:t xml:space="preserve">天津市天津医院</w:t>
            </w: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2053" w:type="dxa"/>
            <w:tcBorders>
              <w:top w:val="nil"/>
              <w:left w:val="nil"/>
              <w:bottom w:val="nil"/>
              <w:right w:val="nil"/>
            </w:tcBorders>
            <w:noWrap w:val="1"/>
            <w:vAlign w:val="center"/>
          </w:tcPr>
          <w:p>
            <w:pPr>
              <w:divId w:val="0"/>
              <w:snapToGrid w:val="0"/>
              <w:rPr>
                <w:rFonts w:ascii="宋体" w:eastAsia="宋体" w:hAnsi="宋体" w:cs="宋体" w:hint="eastAsia"/>
                <w:i w:val="0"/>
                <w:iCs w:val="0"/>
                <w:color w:val="000000"/>
                <w:sz w:val="20"/>
                <w:szCs w:val="20"/>
                <w:u w:val="none"/>
              </w:rPr>
            </w:pPr>
          </w:p>
        </w:tc>
        <w:tc>
          <w:tcPr>
            <w:tcW w:w="4107" w:type="dxa"/>
            <w:gridSpan w:val="2"/>
            <w:tcBorders>
              <w:top w:val="nil"/>
              <w:left w:val="nil"/>
              <w:bottom w:val="nil"/>
              <w:right w:val="nil"/>
            </w:tcBorders>
            <w:noWrap w:val="1"/>
            <w:vAlign w:val="center"/>
          </w:tcPr>
          <w:p>
            <w:pPr>
              <w:divId w:val="0"/>
              <w:keepNext w:val="0"/>
              <w:keepLines w:val="0"/>
              <w:widowControl/>
              <w:suppressLineNumbers w:val="0"/>
              <w:snapToGrid w:val="0"/>
              <w:jc w:val="righ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金额单位：元</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科目编码</w:t>
            </w:r>
          </w:p>
        </w:tc>
        <w:tc>
          <w:tcPr>
            <w:tcW w:w="2838" w:type="dxa"/>
            <w:vMerge w:val="restart"/>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科目名称</w:t>
            </w:r>
          </w:p>
        </w:tc>
        <w:tc>
          <w:tcPr>
            <w:tcW w:w="12319" w:type="dxa"/>
            <w:gridSpan w:val="6"/>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本</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年</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支</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出</w:t>
            </w: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131"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838" w:type="dxa"/>
            <w:vMerge/>
            <w:tcBorders>
              <w:top w:val="single" w:sz="4" w:space="0" w:color="000000"/>
              <w:left w:val="single" w:sz="4" w:space="0" w:color="000000"/>
              <w:bottom w:val="single" w:sz="4" w:space="0" w:color="000000"/>
              <w:right w:val="single" w:sz="4" w:space="0" w:color="000000"/>
            </w:tcBorders>
            <w:noWrap w:val="1"/>
            <w:vAlign w:val="center"/>
          </w:tcPr>
          <w:p>
            <w:pPr>
              <w:divId w:val="0"/>
              <w:snapToGrid w:val="0"/>
              <w:jc w:val="center"/>
              <w:rPr>
                <w:rFonts w:ascii="宋体" w:eastAsia="宋体" w:hAnsi="宋体" w:cs="宋体" w:hint="eastAsia"/>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一般公共</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政府性基金</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国有资本</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经营预算</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财政专户</w:t>
            </w:r>
            <w:r>
              <w:rPr>
                <w:rFonts w:ascii="宋体" w:eastAsia="宋体" w:hAnsi="宋体" w:cs="宋体" w:hint="eastAsia"/>
                <w:i w:val="0"/>
                <w:iCs w:val="0"/>
                <w:color w:val="000000"/>
                <w:kern w:val="0.0"/>
                <w:sz w:val="20"/>
                <w:szCs w:val="20"/>
                <w:u w:val="none"/>
                <w:lang w:val="en-US" w:eastAsia="zh-CN"/>
              </w:rPr>
              <w:br/>
            </w:r>
            <w:r>
              <w:rPr>
                <w:rFonts w:ascii="宋体" w:eastAsia="宋体" w:hAnsi="宋体" w:cs="宋体" w:hint="eastAsia"/>
                <w:i w:val="0"/>
                <w:iCs w:val="0"/>
                <w:color w:val="000000"/>
                <w:kern w:val="0.0"/>
                <w:sz w:val="20"/>
                <w:szCs w:val="20"/>
                <w:u w:val="none"/>
                <w:lang w:val="en-US" w:eastAsia="zh-CN"/>
              </w:rPr>
              <w:t xml:space="preserve">管理资金</w:t>
            </w: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单位资金</w:t>
            </w:r>
          </w:p>
        </w:tc>
      </w:tr>
      <w:tr>
        <w:tblPrEx>
          <w:tblW w:w="16288" w:type="dxa"/>
          <w:jc w:val="center"/>
          <w:tblLayout w:type="fixed"/>
          <w:tblCellMar>
            <w:top w:w="0" w:type="dxa"/>
            <w:left w:w="108" w:type="dxa"/>
            <w:bottom w:w="0" w:type="dxa"/>
            <w:right w:w="108" w:type="dxa"/>
          </w:tblCellMar>
          <w:tblLook w:val="0000"/>
        </w:tblPrEx>
        <w:trPr>
          <w:trHeight w:hRule="exact" w:val="397"/>
          <w:jc w:val="center"/>
        </w:trPr>
        <w:tc>
          <w:tcPr>
            <w:tcW w:w="3969" w:type="dxa"/>
            <w:gridSpan w:val="2"/>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snapToGrid w:val="0"/>
              <w:jc w:val="center"/>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合</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 </w:t>
            </w:r>
            <w:r>
              <w:rPr>
                <w:rFonts w:ascii="宋体" w:eastAsia="宋体" w:hAnsi="宋体" w:cs="宋体" w:hint="eastAsia"/>
                <w:i w:val="0"/>
                <w:iCs w:val="0"/>
                <w:color w:val="000000"/>
                <w:kern w:val="0.0"/>
                <w:sz w:val="20"/>
                <w:szCs w:val="20"/>
                <w:u w:val="none"/>
                <w:lang w:val="en-US" w:eastAsia="zh-CN"/>
              </w:rPr>
              <w:t xml:space="preserve">计</w:t>
            </w:r>
          </w:p>
        </w:tc>
        <w:tc>
          <w:tcPr>
            <w:tcW w:w="2053" w:type="dxa"/>
            <w:tcBorders>
              <w:top w:val="single" w:sz="4" w:space="0" w:color="000000"/>
              <w:left w:val="single" w:sz="4" w:space="0" w:color="000000"/>
              <w:bottom w:val="single" w:sz="4" w:space="0" w:color="000000"/>
              <w:right w:val="single" w:sz="4" w:space="0" w:color="000000"/>
            </w:tcBorders>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1173357460.08</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7806260.20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69000000.00</w:t>
            </w: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3"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p>
        </w:tc>
        <w:tc>
          <w:tcPr>
            <w:tcW w:w="2054" w:type="dxa"/>
            <w:tcBorders>
              <w:top w:val="single" w:sz="4" w:space="0" w:color="000000"/>
              <w:left w:val="single" w:sz="4" w:space="0" w:color="000000"/>
              <w:bottom w:val="single" w:sz="4" w:space="0" w:color="000000"/>
              <w:right w:val="single" w:sz="4" w:space="0" w:color="000000"/>
            </w:tcBorders>
            <w:noWrap w:val="1"/>
            <w:vAlign w:val="center"/>
          </w:tcPr>
          <w:p>
            <w:pPr>
              <w:divId w:val="0"/>
              <w:keepNext w:val="0"/>
              <w:keepLines w:val="0"/>
              <w:widowControl/>
              <w:suppressLineNumbers w:val="0"/>
              <w:jc w:val="right"/>
              <w:textAlignment w:val="center"/>
              <w:rPr>
                <w:rFonts w:ascii="Times New Roman" w:eastAsia="宋体" w:hAnsi="Times New Roman" w:cs="Times New Roman" w:hint="default"/>
                <w:i w:val="0"/>
                <w:iCs w:val="0"/>
                <w:color w:val="000000"/>
                <w:sz w:val="20"/>
                <w:szCs w:val="20"/>
                <w:u w:val="none"/>
              </w:rPr>
            </w:pPr>
            <w:r>
              <w:rPr>
                <w:rFonts w:ascii="Times New Roman" w:eastAsia="宋体" w:hAnsi="Times New Roman" w:cs="Times New Roman" w:hint="default"/>
                <w:i w:val="0"/>
                <w:iCs w:val="0"/>
                <w:color w:val="000000"/>
                <w:kern w:val="0.0"/>
                <w:sz w:val="20"/>
                <w:szCs w:val="20"/>
                <w:u w:val="none"/>
                <w:lang w:val="en-US" w:eastAsia="zh-CN"/>
              </w:rPr>
              <w:t xml:space="preserve">1096551199.88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社会保障和就业支出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人力资源和社会保障管理事务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引进人才费用</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1040000.00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第二批卫生健康行业高层次人才选拔培养工程第一年度资助经费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2080116</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西部之光访问学者匹配资助</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90000.00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1172316760.08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6765560.20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1096551199.88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1102808079.38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6256879.50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1096551199.88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综合医院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6256879.50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6256879.50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国家临床重点专科能力建设-01直达资金-2024年医疗服务与保障能力提升（第二批）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4991600.00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4991600.00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卫生健康系统对口支援帮扶（2025年市级）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401849.50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401849.50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卫生健康质控中心管理（2025年市级）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基层慢病管理及救治单元能力提升（2025年市级）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天津医院医疗设备更新项目前期工作经费（2025年一般债券）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69200.00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公立医院综合改革（2025年中央医疗服务与保障能力提升）</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250000.00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天津市天津医院专科学科能力建设（2025年一般债券）</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334230.00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334230.00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患者救治费用(2025年市级）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50000.00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其他专科医院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1096551199.88</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1096551199.88</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自有收入-药品耗材及资产购置（2025年）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1085594890.27</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1085594890.27</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2100208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自有收入-工程建设信息化及其他（2025年）</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10956309.61</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10956309.61</w:t>
            </w: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公共卫生</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2100409</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精神卫生和慢性非传染性病防治（慢性病防治）（2025年中央重大公共卫生服务）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143680.70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中医药事务</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中医（民族医）药专项</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中医药事业创新发展（2025年市级）</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65000.00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2101704</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重大疑难疾病中西医临床写作项目（2025年中央中医药事业传承与发展）</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300000.00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超长期特别国债安排的支出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公立医院</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2109801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2025年超长期特别国债-天津市天津医院医疗设备更新项目</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69000000.00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地方政府一般债务付息支出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地方政府一般债券付息支出</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397"/>
          <w:jc w:val="center"/>
        </w:trPr>
        <w:tc>
          <w:tcPr>
            <w:tcW w:w="1131" w:type="dxa"/>
            <w:tcBorders>
              <w:top w:val="single" w:sz="4" w:space="0" w:color="000000"/>
              <w:left w:val="single" w:sz="4" w:space="0" w:color="000000"/>
              <w:bottom w:val="single" w:sz="4" w:space="0" w:color="000000"/>
              <w:right w:val="single" w:sz="4" w:space="0" w:color="000000"/>
            </w:tcBorders>
            <w:shd w:val="clear" w:color="auto" w:fill="FFFFFF"/>
            <w:noWrap w:val="1"/>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pacing w:val="0"/>
                <w:w w:val="100"/>
                <w:sz w:val="20"/>
                <w:szCs w:val="20"/>
                <w:u w:val="none"/>
                <w:lang w:val="en-US" w:eastAsia="zh-CN"/>
              </w:rPr>
            </w:pPr>
            <w:r>
              <w:rPr>
                <w:rFonts w:ascii="宋体" w:eastAsia="宋体" w:hAnsi="宋体" w:cs="宋体" w:hint="eastAsia"/>
                <w:i w:val="0"/>
                <w:iCs w:val="0"/>
                <w:color w:val="000000"/>
                <w:spacing w:val="0"/>
                <w:w w:val="100"/>
                <w:sz w:val="20"/>
                <w:szCs w:val="20"/>
                <w:u w:val="none"/>
                <w:lang w:val="en-US" w:eastAsia="zh-CN"/>
              </w:rPr>
              <w:t xml:space="preserve">2320301</w:t>
            </w:r>
          </w:p>
        </w:tc>
        <w:tc>
          <w:tcPr>
            <w:tcW w:w="2838" w:type="dxa"/>
            <w:tcBorders>
              <w:top w:val="single" w:sz="4" w:space="0" w:color="000000"/>
              <w:left w:val="single" w:sz="4" w:space="0" w:color="000000"/>
              <w:bottom w:val="single" w:sz="4" w:space="0" w:color="000000"/>
              <w:right w:val="single" w:sz="4" w:space="0" w:color="000000"/>
            </w:tcBorders>
            <w:shd w:val="clear" w:color="auto" w:fill="auto"/>
            <w:vAlign w:val="center"/>
          </w:tcPr>
          <w:p>
            <w:pPr>
              <w:divId w:val="0"/>
              <w:keepNext w:val="0"/>
              <w:keepLines w:val="0"/>
              <w:widowControl/>
              <w:suppressLineNumbers w:val="0"/>
              <w:snapToGrid w:val="0"/>
              <w:jc w:val="left"/>
              <w:textAlignment w:val="center"/>
              <w:rPr>
                <w:rFonts w:ascii="宋体" w:eastAsia="宋体" w:hAnsi="宋体" w:cs="宋体" w:hint="default"/>
                <w:i w:val="0"/>
                <w:iCs w:val="0"/>
                <w:color w:val="000000"/>
                <w:spacing w:val="0"/>
                <w:w w:val="100"/>
                <w:sz w:val="20"/>
                <w:szCs w:val="20"/>
                <w:u w:val="none"/>
                <w:lang w:val="en-US" w:eastAsia="zh-CN"/>
              </w:rPr>
            </w:pPr>
            <w:r>
              <w:rPr>
                <w:rFonts w:ascii="宋体" w:eastAsia="宋体" w:hAnsi="宋体" w:cs="宋体" w:hint="default"/>
                <w:i w:val="0"/>
                <w:iCs w:val="0"/>
                <w:color w:val="000000"/>
                <w:spacing w:val="0"/>
                <w:w w:val="100"/>
                <w:sz w:val="20"/>
                <w:szCs w:val="20"/>
                <w:u w:val="none"/>
                <w:lang w:val="en-US" w:eastAsia="zh-CN"/>
              </w:rPr>
              <w:t xml:space="preserve">天津医院医疗设备更新项目（2025年一般债券付息）</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r>
              <w:rPr>
                <w:rFonts w:ascii="Times New Roman" w:eastAsia="宋体" w:hAnsi="Times New Roman" w:cs="Times New Roman" w:hint="default"/>
                <w:i w:val="0"/>
                <w:iCs w:val="0"/>
                <w:color w:val="000000"/>
                <w:sz w:val="20"/>
                <w:szCs w:val="20"/>
                <w:u w:val="none"/>
                <w:lang w:val="en-US" w:eastAsia="zh-CN" w:bidi="ar-SA"/>
              </w:rPr>
              <w:t xml:space="preserve">700.00</w:t>
            </w: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3"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c>
          <w:tcPr>
            <w:tcW w:w="2054" w:type="dxa"/>
            <w:tcBorders>
              <w:top w:val="single" w:sz="4" w:space="0" w:color="000000"/>
              <w:left w:val="single" w:sz="4" w:space="0" w:color="000000"/>
              <w:bottom w:val="single" w:sz="4" w:space="0" w:color="000000"/>
              <w:right w:val="single" w:sz="4" w:space="0" w:color="000000"/>
            </w:tcBorders>
            <w:shd w:val="clear" w:color="auto" w:fill="auto"/>
            <w:noWrap w:val="1"/>
            <w:vAlign w:val="center"/>
          </w:tcPr>
          <w:p>
            <w:pPr>
              <w:divId w:val="0"/>
              <w:keepNext w:val="0"/>
              <w:keepLines w:val="0"/>
              <w:widowControl/>
              <w:suppressLineNumbers w:val="0"/>
              <w:snapToGrid w:val="0"/>
              <w:jc w:val="right"/>
              <w:rPr>
                <w:rFonts w:ascii="Times New Roman" w:eastAsia="宋体" w:hAnsi="Times New Roman" w:cs="Times New Roman" w:hint="default"/>
                <w:i w:val="0"/>
                <w:iCs w:val="0"/>
                <w:color w:val="000000"/>
                <w:sz w:val="20"/>
                <w:szCs w:val="20"/>
                <w:u w:val="none"/>
                <w:lang w:val="en-US" w:eastAsia="zh-CN" w:bidi="ar-SA"/>
              </w:rPr>
            </w:pPr>
          </w:p>
        </w:tc>
      </w:tr>
      <w:tr>
        <w:tblPrEx>
          <w:tblW w:w="16288" w:type="dxa"/>
          <w:jc w:val="center"/>
          <w:tblLayout w:type="fixed"/>
          <w:tblCellMar>
            <w:top w:w="0" w:type="dxa"/>
            <w:left w:w="108" w:type="dxa"/>
            <w:bottom w:w="0" w:type="dxa"/>
            <w:right w:w="108" w:type="dxa"/>
          </w:tblCellMar>
          <w:tblLook w:val="0000"/>
        </w:tblPrEx>
        <w:trPr>
          <w:trHeight w:val="567"/>
          <w:jc w:val="center"/>
        </w:trPr>
        <w:tc>
          <w:tcPr>
            <w:tcW w:w="16288" w:type="dxa"/>
            <w:gridSpan w:val="8"/>
            <w:tcBorders>
              <w:top w:val="nil"/>
              <w:left w:val="nil"/>
              <w:bottom w:val="nil"/>
              <w:right w:val="nil"/>
            </w:tcBorders>
            <w:vAlign w:val="center"/>
          </w:tcPr>
          <w:p>
            <w:pPr>
              <w:divId w:val="0"/>
              <w:keepNext w:val="0"/>
              <w:keepLines w:val="0"/>
              <w:widowControl/>
              <w:suppressLineNumbers w:val="0"/>
              <w:snapToGrid w:val="0"/>
              <w:jc w:val="left"/>
              <w:textAlignment w:val="center"/>
              <w:rPr>
                <w:rFonts w:ascii="宋体" w:eastAsia="宋体" w:hAnsi="宋体" w:cs="宋体" w:hint="eastAsia"/>
                <w:i w:val="0"/>
                <w:iCs w:val="0"/>
                <w:color w:val="000000"/>
                <w:sz w:val="20"/>
                <w:szCs w:val="20"/>
                <w:u w:val="none"/>
              </w:rPr>
            </w:pPr>
            <w:r>
              <w:rPr>
                <w:rFonts w:ascii="宋体" w:eastAsia="宋体" w:hAnsi="宋体" w:cs="宋体" w:hint="eastAsia"/>
                <w:i w:val="0"/>
                <w:iCs w:val="0"/>
                <w:color w:val="000000"/>
                <w:kern w:val="0.0"/>
                <w:sz w:val="20"/>
                <w:szCs w:val="20"/>
                <w:u w:val="none"/>
                <w:lang w:val="en-US" w:eastAsia="zh-CN"/>
              </w:rPr>
              <w:t xml:space="preserve">注：本表反映本年度项目支出决算情况，其中支出数包括当年预算资金和以前年度结转资金安排的合计实际支出。</w:t>
            </w:r>
          </w:p>
        </w:tc>
      </w:tr>
    </w:tbl>
    <w:p>
      <w:pPr>
        <w:sectPr>
          <w:footerReference w:type="default" r:id="rId7"/>
          <w:pgSz w:w="16838" w:h="11906" w:orient="landscape"/>
          <w:pgMar w:top="1800" w:right="1440" w:bottom="1800" w:left="144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pPr>
    </w:p>
    <w:p>
      <w:pPr>
        <w:pStyle w:val="标题1"/>
        <w:wordWrap w:val="0"/>
        <w:spacing w:before="0" w:after="0" w:line="600" w:lineRule="exact"/>
        <w:jc w:val="center"/>
        <w:rPr>
          <w:rFonts w:ascii="方正小标宋简体" w:eastAsia="方正小标宋简体" w:hAnsi="方正小标宋简体" w:cs="方正小标宋简体"/>
          <w:b w:val="0"/>
          <w:sz w:val="44"/>
          <w:szCs w:val="44"/>
          <w:highlight w:val="none"/>
        </w:rPr>
      </w:pPr>
      <w:bookmarkStart w:id="15" w:name="_Toc13918"/>
      <w:r>
        <w:rPr>
          <w:rFonts w:ascii="方正小标宋简体" w:eastAsia="方正小标宋简体" w:hAnsi="方正小标宋简体" w:cs="方正小标宋简体" w:hint="eastAsia"/>
          <w:b w:val="0"/>
          <w:bCs w:val="0"/>
          <w:lang w:val="en-US" w:eastAsia="zh-CN"/>
        </w:rPr>
        <w:t xml:space="preserve">第三部分  2025年度单位决算情况说明</w:t>
      </w:r>
      <w:bookmarkEnd w:id="15"/>
    </w:p>
    <w:p>
      <w:pPr>
        <w:divId w:val="0"/>
        <w:spacing w:line="600" w:lineRule="exact"/>
        <w:ind w:firstLine="600" w:firstLineChars="200"/>
        <w:rPr>
          <w:rFonts w:ascii="黑体" w:eastAsia="黑体" w:hint="eastAsia"/>
          <w:sz w:val="30"/>
          <w:szCs w:val="30"/>
          <w:highlight w:val="none"/>
        </w:rPr>
      </w:pP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6" w:name="_Toc16656"/>
      <w:r>
        <w:rPr>
          <w:rFonts w:ascii="黑体" w:eastAsia="黑体" w:hAnsi="黑体" w:cs="方正仿宋_GB2312" w:hint="eastAsia"/>
          <w:bCs w:val="0"/>
          <w:sz w:val="30"/>
          <w:szCs w:val="30"/>
          <w:lang w:val="en-US" w:eastAsia="zh-CN"/>
        </w:rPr>
        <w:t xml:space="preserve">一、收入支出决算总体情况说明</w:t>
      </w:r>
      <w:bookmarkEnd w:id="1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2,426,339,439.04</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减少124,044,335.81元，下降4.86%</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高值耗材及部分医疗服务项目价格下调使医疗收入、支出整体规模下降</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一般公共预算财政拨款收入81,719,260.20元、政府性基金预算财政拨款收入69,000,000.00元、事业收入2,212,486,861.37元、其他收入20,349,896.16元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社会保障和就业支出1,040,000.00元、卫生健康支出2,370,323,521.83元、债务付息支出700.00元</w:t>
      </w:r>
      <w:r>
        <w:rPr>
          <w:rFonts w:eastAsia="仿宋_GB2312" w:hint="eastAsia"/>
          <w:sz w:val="30"/>
          <w:szCs w:val="30"/>
          <w:highlight w:val="none"/>
          <w:lang w:val="en-US" w:eastAsia="zh-CN"/>
        </w:rPr>
        <w:t xml:space="preserve">。</w:t>
      </w:r>
    </w:p>
    <w:p>
      <w:pPr>
        <w:pStyle w:val="标题2"/>
        <w:wordWrap w:val="0"/>
        <w:spacing w:before="0" w:after="0" w:line="600" w:lineRule="exact"/>
        <w:ind w:firstLine="600" w:firstLineChars="200"/>
        <w:rPr>
          <w:rFonts w:ascii="黑体" w:eastAsia="黑体" w:hAnsi="黑体" w:cs="方正仿宋_GB2312" w:hint="eastAsia"/>
          <w:bCs w:val="0"/>
          <w:sz w:val="30"/>
          <w:szCs w:val="30"/>
          <w:lang w:val="en-US" w:eastAsia="zh-CN"/>
        </w:rPr>
      </w:pPr>
      <w:bookmarkStart w:id="17" w:name="_Toc20266"/>
      <w:r>
        <w:rPr>
          <w:rFonts w:ascii="黑体" w:eastAsia="黑体" w:hAnsi="黑体" w:cs="方正仿宋_GB2312" w:hint="eastAsia"/>
          <w:bCs w:val="0"/>
          <w:sz w:val="30"/>
          <w:szCs w:val="30"/>
          <w:lang w:val="en-US" w:eastAsia="zh-CN"/>
        </w:rPr>
        <w:t xml:space="preserve">二、收入决算情况说明</w:t>
      </w:r>
      <w:bookmarkEnd w:id="17"/>
    </w:p>
    <w:p>
      <w:pPr>
        <w:divId w:val="0"/>
        <w:spacing w:line="600" w:lineRule="exact"/>
        <w:ind w:firstLine="6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年度本年收入合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2,383,556,017.73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减少44,767,735.02元，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药品耗材受集采政策影响价格持续下降、部分检查、检验、手术等医疗服务项目价格下调，使得医疗收入规模缩减 </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一般公共预算财政拨款收入81,719,260.20元，占3.43%；政府性基金预算财政拨款收入69,000,000.00元，占2.89%；事业收入2,212,486,861.37元，占92.82%；其他收入20,349,896.16元，占0.85%</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8" w:name="_Toc17730"/>
      <w:r>
        <w:rPr>
          <w:rFonts w:ascii="黑体" w:eastAsia="黑体" w:hAnsi="黑体" w:cs="方正仿宋_GB2312" w:hint="eastAsia"/>
          <w:bCs w:val="0"/>
          <w:sz w:val="30"/>
          <w:szCs w:val="30"/>
          <w:highlight w:val="none"/>
          <w:u w:val="none"/>
          <w:lang w:val="en-US" w:eastAsia="zh-CN"/>
        </w:rPr>
        <w:t xml:space="preserve">三、支出决算情况说明</w:t>
      </w:r>
      <w:bookmarkEnd w:id="18"/>
    </w:p>
    <w:p>
      <w:pPr>
        <w:divId w:val="0"/>
        <w:spacing w:line="600" w:lineRule="exact"/>
        <w:ind w:firstLine="600" w:firstLineChars="200"/>
        <w:rPr>
          <w:rFonts w:eastAsia="仿宋_GB2312" w:hint="eastAsia"/>
          <w:sz w:val="30"/>
          <w:szCs w:val="30"/>
          <w:highlight w:val="yellow"/>
          <w:lang w:val="en-US" w:eastAsia="zh-CN"/>
        </w:rPr>
      </w:pP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年度本年支出合</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2,371,364,221.83</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减少143,859,856.49元，</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专用材料费支出受药品耗材集采政策影响下降幅度较大</w:t>
      </w:r>
      <w:r>
        <w:rPr>
          <w:rFonts w:eastAsia="仿宋_GB2312" w:hint="eastAsia"/>
          <w:sz w:val="30"/>
          <w:szCs w:val="30"/>
          <w:highlight w:val="none"/>
          <w:lang w:val="en-US" w:eastAsia="zh-CN"/>
        </w:rPr>
        <w:t xml:space="preserve">。其中：</w:t>
      </w:r>
      <w:r>
        <w:rPr>
          <w:rFonts w:eastAsia="仿宋_GB2312" w:hint="eastAsia"/>
          <w:sz w:val="30"/>
          <w:szCs w:val="30"/>
          <w:highlight w:val="none"/>
        </w:rPr>
        <w:t xml:space="preserve">基本支出1,198,006,761.75元，占50.52%；项目支出1,173,357,460.08元，占49.48%</w:t>
      </w:r>
      <w:r>
        <w:rPr>
          <w:rFonts w:eastAsia="仿宋_GB2312" w:hint="eastAsia"/>
          <w:sz w:val="30"/>
          <w:szCs w:val="30"/>
          <w:highlight w:val="none"/>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19" w:name="_Toc16631"/>
      <w:r>
        <w:rPr>
          <w:rFonts w:ascii="黑体" w:eastAsia="黑体" w:hAnsi="黑体" w:cs="方正仿宋_GB2312" w:hint="eastAsia"/>
          <w:bCs w:val="0"/>
          <w:sz w:val="30"/>
          <w:szCs w:val="30"/>
          <w:highlight w:val="none"/>
          <w:u w:val="none"/>
          <w:lang w:val="en-US" w:eastAsia="zh-CN"/>
        </w:rPr>
        <w:t xml:space="preserve">四、财政拨款收支决算总体情况说明</w:t>
      </w:r>
      <w:bookmarkEnd w:id="19"/>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年度财政拨款收入、支出决算总</w:t>
      </w:r>
      <w:r>
        <w:rPr>
          <w:rFonts w:eastAsia="仿宋_GB2312" w:hint="eastAsia"/>
          <w:sz w:val="30"/>
          <w:szCs w:val="30"/>
          <w:highlight w:val="none"/>
          <w:lang w:val="en-US" w:eastAsia="zh-CN"/>
        </w:rPr>
        <w:t xml:space="preserve">计</w:t>
      </w:r>
      <w:r>
        <w:rPr>
          <w:rFonts w:eastAsia="仿宋_GB2312" w:hint="eastAsia"/>
          <w:sz w:val="30"/>
          <w:szCs w:val="30"/>
          <w:highlight w:val="none"/>
          <w:lang w:val="en-US" w:eastAsia="zh-CN"/>
        </w:rPr>
        <w:t xml:space="preserve">152,691,260.20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4</w:t>
      </w:r>
      <w:r>
        <w:rPr>
          <w:rFonts w:eastAsia="仿宋_GB2312" w:hint="eastAsia"/>
          <w:sz w:val="30"/>
          <w:szCs w:val="30"/>
          <w:highlight w:val="none"/>
          <w:lang w:val="en-US" w:eastAsia="zh-CN"/>
        </w:rPr>
        <w:t xml:space="preserve">年度相比，财政拨款收、支总计</w:t>
      </w:r>
      <w:r>
        <w:rPr>
          <w:rFonts w:eastAsia="仿宋_GB2312" w:hint="eastAsia"/>
          <w:sz w:val="30"/>
          <w:szCs w:val="30"/>
          <w:highlight w:val="none"/>
          <w:lang w:val="en-US" w:eastAsia="zh-CN"/>
        </w:rPr>
        <w:t xml:space="preserve">各</w:t>
      </w:r>
      <w:r>
        <w:rPr>
          <w:rFonts w:eastAsia="仿宋_GB2312" w:hint="eastAsia"/>
          <w:sz w:val="30"/>
          <w:szCs w:val="30"/>
          <w:highlight w:val="none"/>
          <w:lang w:val="en-US" w:eastAsia="zh-CN"/>
        </w:rPr>
        <w:t xml:space="preserve">增加73,664,928.20元，增长93.22%，</w:t>
      </w:r>
      <w:r>
        <w:rPr>
          <w:rFonts w:eastAsia="仿宋_GB2312" w:hint="eastAsia"/>
          <w:sz w:val="30"/>
          <w:szCs w:val="30"/>
          <w:highlight w:val="none"/>
          <w:lang w:val="en-US" w:eastAsia="zh-CN"/>
        </w:rPr>
        <w:t xml:space="preserve">主要原因</w:t>
      </w:r>
      <w:r>
        <w:rPr>
          <w:rFonts w:eastAsia="仿宋_GB2312" w:hint="eastAsia"/>
          <w:sz w:val="30"/>
          <w:szCs w:val="30"/>
          <w:highlight w:val="none"/>
          <w:lang w:val="en-US" w:eastAsia="zh-CN"/>
        </w:rPr>
        <w:t xml:space="preserve">是</w:t>
      </w:r>
      <w:r>
        <w:rPr>
          <w:rFonts w:eastAsia="仿宋_GB2312" w:hint="eastAsia"/>
          <w:sz w:val="30"/>
          <w:szCs w:val="30"/>
          <w:highlight w:val="none"/>
          <w:lang w:val="en-US" w:eastAsia="zh-CN"/>
        </w:rPr>
        <w:t xml:space="preserve">本年实施天津医院设备更新项目，增加政府性基金拨款收支69,000,000元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收入包括：</w:t>
      </w:r>
      <w:r>
        <w:rPr>
          <w:rFonts w:eastAsia="仿宋_GB2312" w:hint="eastAsia"/>
          <w:sz w:val="30"/>
          <w:szCs w:val="30"/>
          <w:highlight w:val="none"/>
          <w:lang w:val="en-US" w:eastAsia="zh-CN"/>
        </w:rPr>
        <w:t xml:space="preserve">一般公共预算财政拨款81,719,260.20元、政府性基金预算财政拨款69,000,000.00元、年初财政拨款结转和结余1,972,000.00元</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支出包括：</w:t>
      </w:r>
      <w:r>
        <w:rPr>
          <w:rFonts w:eastAsia="仿宋_GB2312" w:hint="eastAsia"/>
          <w:sz w:val="30"/>
          <w:szCs w:val="30"/>
          <w:highlight w:val="none"/>
          <w:lang w:val="en-US" w:eastAsia="zh-CN"/>
        </w:rPr>
        <w:t xml:space="preserve">社会保障和就业支出1,040,000.00元、卫生健康支出149,678,560.20元、债务付息支出700.00元、年末财政拨款结转和结余1,972,000.00元</w:t>
      </w:r>
      <w:r>
        <w:rPr>
          <w:rFonts w:eastAsia="仿宋_GB2312" w:hint="eastAsia"/>
          <w:sz w:val="30"/>
          <w:szCs w:val="30"/>
          <w:highlight w:val="none"/>
          <w:lang w:val="en-US" w:eastAsia="zh-CN"/>
        </w:rPr>
        <w:t xml:space="preserve">。</w:t>
      </w:r>
    </w:p>
    <w:p>
      <w:pPr>
        <w:pStyle w:val="标题2"/>
        <w:pageBreakBefore w:val="0"/>
        <w:kinsoku/>
        <w:wordWrap/>
        <w:overflowPunct/>
        <w:topLinePunct w:val="0"/>
        <w:autoSpaceDE/>
        <w:autoSpaceDN/>
        <w:bidi w:val="0"/>
        <w:snapToGrid/>
        <w:spacing w:before="0" w:after="0" w:line="600" w:lineRule="exact"/>
        <w:ind w:firstLine="600" w:firstLineChars="200"/>
        <w:outlineLvl w:val="0"/>
        <w:rPr>
          <w:rFonts w:ascii="黑体" w:eastAsia="黑体" w:hAnsi="黑体" w:cs="方正仿宋_GB2312" w:hint="eastAsia"/>
          <w:bCs w:val="0"/>
          <w:sz w:val="30"/>
          <w:szCs w:val="30"/>
          <w:highlight w:val="none"/>
          <w:u w:val="none"/>
          <w:lang w:val="en-US" w:eastAsia="zh-CN"/>
        </w:rPr>
      </w:pPr>
      <w:bookmarkStart w:id="20" w:name="_Toc13902"/>
      <w:r>
        <w:rPr>
          <w:rFonts w:ascii="黑体" w:eastAsia="黑体" w:hAnsi="黑体" w:cs="方正仿宋_GB2312" w:hint="eastAsia"/>
          <w:bCs w:val="0"/>
          <w:sz w:val="30"/>
          <w:szCs w:val="30"/>
          <w:highlight w:val="none"/>
          <w:u w:val="none"/>
          <w:lang w:val="en-US" w:eastAsia="zh-CN"/>
        </w:rPr>
        <w:t xml:space="preserve">五、一般公共预算财政拨款支出决算情况说明</w:t>
      </w:r>
      <w:bookmarkEnd w:id="20"/>
    </w:p>
    <w:p>
      <w:pPr>
        <w:divId w:val="0"/>
        <w:spacing w:line="600" w:lineRule="exact"/>
        <w:ind w:left="480" w:left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天津市天津医院2025年度一般公共预算财政拨款支出合计81,719,260.20元，占本年支出合计的3.45%。与2024年度相比，一般公共预算财政拨款支出</w:t>
      </w:r>
      <w:r>
        <w:rPr>
          <w:rFonts w:eastAsia="仿宋_GB2312" w:hint="eastAsia"/>
          <w:sz w:val="30"/>
          <w:szCs w:val="30"/>
          <w:highlight w:val="none"/>
          <w:lang w:val="en-US" w:eastAsia="zh-CN"/>
        </w:rPr>
        <w:t xml:space="preserve">增加4,664,928.20元</w:t>
      </w:r>
      <w:r>
        <w:rPr>
          <w:rFonts w:eastAsia="仿宋_GB2312" w:hint="eastAsia"/>
          <w:sz w:val="30"/>
          <w:szCs w:val="30"/>
          <w:highlight w:val="none"/>
          <w:lang w:val="en-US" w:eastAsia="zh-CN"/>
        </w:rPr>
        <w:t xml:space="preserve">，增长6.05%</w:t>
      </w:r>
      <w:r>
        <w:rPr>
          <w:rFonts w:eastAsia="仿宋_GB2312" w:hint="eastAsia"/>
          <w:sz w:val="30"/>
          <w:szCs w:val="30"/>
          <w:highlight w:val="none"/>
          <w:lang w:val="en-US" w:eastAsia="zh-CN"/>
        </w:rPr>
        <w:t xml:space="preserve">，主要原因是随人员经费增长财政基本支出拨款对人员经费的保障有所提升，2025年较上年增长3,922,800元。</w:t>
      </w:r>
    </w:p>
    <w:p>
      <w:pPr>
        <w:divId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lang w:val="en-US" w:eastAsia="zh-CN"/>
        </w:rPr>
        <w:t xml:space="preserve">（二）支出结构情况</w:t>
      </w:r>
    </w:p>
    <w:p>
      <w:pPr>
        <w:divId w:val="0"/>
        <w:spacing w:line="600" w:lineRule="exact"/>
        <w:ind w:firstLine="600" w:firstLineChars="200"/>
        <w:rPr>
          <w:rFonts w:eastAsia="仿宋_GB2312"/>
          <w:sz w:val="30"/>
          <w:szCs w:val="30"/>
          <w:highlight w:val="none"/>
        </w:rPr>
      </w:pPr>
      <w:r>
        <w:rPr>
          <w:rFonts w:eastAsia="仿宋_GB2312" w:hint="eastAsia"/>
          <w:sz w:val="30"/>
          <w:szCs w:val="30"/>
          <w:highlight w:val="none"/>
          <w:lang w:val="en-US" w:eastAsia="zh-CN"/>
        </w:rPr>
        <w:t xml:space="preserve">2025年度一般公共预算财政拨款支出81,719,260.20元，主要用于以下方面：</w:t>
      </w:r>
      <w:r>
        <w:rPr>
          <w:rFonts w:eastAsia="仿宋_GB2312" w:hint="eastAsia"/>
          <w:sz w:val="30"/>
          <w:szCs w:val="30"/>
          <w:highlight w:val="none"/>
        </w:rPr>
        <w:t xml:space="preserve">社会保障和就业支出（类）支出1,040,000.00元，占1.27%，卫生健康支出（类）支出80,678,560.20元，占98.73%，债务付息支出（类）支出700.00元，占0.00%</w:t>
      </w:r>
      <w:r>
        <w:rPr>
          <w:rFonts w:eastAsia="仿宋_GB2312" w:hint="eastAsia"/>
          <w:sz w:val="30"/>
          <w:szCs w:val="30"/>
          <w:highlight w:val="none"/>
        </w:rPr>
        <w:t xml:space="preserve">。</w:t>
      </w:r>
    </w:p>
    <w:p>
      <w:pPr>
        <w:divId w:val="0"/>
        <w:spacing w:line="600" w:lineRule="exact"/>
        <w:ind w:firstLine="600" w:firstLineChars="200"/>
        <w:rPr>
          <w:rFonts w:ascii="楷体" w:eastAsia="楷体" w:hAnsi="楷体" w:cs="方正仿宋_GB2312" w:hint="eastAsia"/>
          <w:b/>
          <w:sz w:val="30"/>
          <w:szCs w:val="30"/>
          <w:highlight w:val="none"/>
        </w:rPr>
      </w:pPr>
      <w:r>
        <w:rPr>
          <w:rFonts w:ascii="楷体" w:eastAsia="楷体" w:hAnsi="楷体" w:cs="方正仿宋_GB2312" w:hint="eastAsia"/>
          <w:b/>
          <w:sz w:val="30"/>
          <w:szCs w:val="30"/>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2025年度一般公共预算财政拨款支出年初预算为80,805,600.00元，支出决算为81,719,260.20元</w:t>
      </w:r>
      <w:r>
        <w:rPr>
          <w:rFonts w:eastAsia="仿宋_GB2312" w:hint="eastAsia"/>
          <w:sz w:val="30"/>
          <w:szCs w:val="30"/>
          <w:highlight w:val="none"/>
          <w:lang w:val="en-US" w:eastAsia="zh-CN"/>
        </w:rPr>
        <w:t xml:space="preserve">，完成年初预算的101.13%</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社会保障和就业支出（类）人力资源和社会保障管理事务（款）引进人才费用（项）年初预算为0.00元，支出决算为1,040,000.00元，决算数大于年初预算数的主要原因是：该项目下的高层次人才培养工程、西部之光访问学者资助经费为年度中期追加的预算资金，已于年内使用完毕并完成预期目标任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卫生健康支出（类）公立医院（款）综合医院（项）年初预算为5,973,600.00元，支出决算为6,256,879.50元，完成年初预算的104.74%，决算数大于年初预算数的主要原因是：该项下的天津市天津医院专科学科能力建设项目、天津医院医疗设备更新项目前期工作经费于年度中期下达，未包含在年初预算中，并已于年内使用完毕并完成预期目标任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卫生健康支出（类）公立医院（款）其他专科医院（项）年初预算为64,357,000.00元，支出决算为64,433,000.00元，完成年初预算的100.12%，决算数大于年初预算数的主要原因是：年度中期下达基本工资增资经费，且已于年内足额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4.卫生健康支出（类）公共卫生（款）重大公共卫生服务（项）年初预算为630,000.00元，支出决算为143,680.70元，完成年初预算的22.81%，决算数小于年初预算数的主要原因是：该项目为我院承担的医体融合慢性病防治项目，执行期限为两年，本年内按照预期进度完成前期部分工作，其余部分结转至下一年度继续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5.卫生健康支出（类）行政事业单位医疗（款）事业单位医疗（项）年初预算为6,362,000.00元，支出决算为6,362,000.00元，完成年初预算的100.00%，决算数与年初预算数持平的主要原因是：人员经费财政基本拨款已足额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6.卫生健康支出（类）行政事业单位医疗（款）其他行政事业单位医疗支出（项）年初预算为3,118,000.00元，支出决算为3,118,000.00元，完成年初预算的100.00%，决算数与年初预算数持平的主要原因是：人员经费财政基本拨款已足额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7.卫生健康支出（类）中医药事务（款）中医（民族医）药专项（项）年初预算为365,000.00元，支出决算为365,000.00元，完成年初预算的100.00%，决算数与年初预算数持平的主要原因是：中医药事业创新发展与重大疑难疾病中西医临床协作项目均已按预期目标完成，项目资金全部使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8.债务付息支出（类）地方政府一般债务付息支出（款）地方政府一般债券付息支出（项）年初预算为0.00元，支出决算为700.00元，决算数大于年初预算数的主要原因是：本年度使用一般债券资金拨款项目，利息部分需纳入本单位决算支出。</w:t>
      </w:r>
    </w:p>
    <w:p>
      <w:pPr>
        <w:pStyle w:val="标题2"/>
        <w:spacing w:before="0" w:after="0" w:line="600" w:lineRule="exact"/>
        <w:ind w:firstLine="600" w:firstLineChars="200"/>
        <w:rPr>
          <w:rFonts w:ascii="黑体" w:eastAsia="黑体" w:hAnsi="黑体"/>
          <w:b w:val="0"/>
          <w:sz w:val="30"/>
          <w:szCs w:val="30"/>
          <w:highlight w:val="none"/>
        </w:rPr>
      </w:pPr>
      <w:bookmarkStart w:id="21" w:name="_Toc21908"/>
      <w:r>
        <w:rPr>
          <w:rFonts w:ascii="黑体" w:eastAsia="黑体" w:hAnsi="黑体" w:cs="方正仿宋_GB2312" w:hint="eastAsia"/>
          <w:bCs w:val="0"/>
          <w:sz w:val="30"/>
          <w:szCs w:val="30"/>
          <w:highlight w:val="none"/>
          <w:u w:val="none"/>
          <w:lang w:val="en-US" w:eastAsia="zh-CN"/>
        </w:rPr>
        <w:t xml:space="preserve">六、一般公共预算财政拨款基本支出决算情况说明</w:t>
      </w:r>
      <w:bookmarkEnd w:id="21"/>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天津市天津医院2025年度一般公共预算财政拨款基本支出合计73,913,000.00元，与2024年度相比</w:t>
      </w:r>
      <w:r>
        <w:rPr>
          <w:rFonts w:eastAsia="仿宋_GB2312" w:hint="eastAsia"/>
          <w:sz w:val="30"/>
          <w:szCs w:val="30"/>
          <w:highlight w:val="none"/>
          <w:lang w:val="en-US" w:eastAsia="zh-CN"/>
        </w:rPr>
        <w:t xml:space="preserve">增加3,922,800.00元，</w:t>
      </w:r>
      <w:r>
        <w:rPr>
          <w:rFonts w:eastAsia="仿宋_GB2312" w:hint="eastAsia"/>
          <w:sz w:val="30"/>
          <w:szCs w:val="30"/>
          <w:highlight w:val="none"/>
          <w:lang w:val="en-US" w:eastAsia="zh-CN"/>
        </w:rPr>
        <w:t xml:space="preserve">主要原因是随人员经费增长财政基本支出拨款对人员经费的保障有所提升。</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人员经费71,986,000.00元，主要包括</w:t>
      </w:r>
      <w:r>
        <w:rPr>
          <w:rFonts w:eastAsia="仿宋_GB2312" w:hint="eastAsia"/>
          <w:sz w:val="30"/>
          <w:szCs w:val="30"/>
          <w:highlight w:val="none"/>
          <w:lang w:val="en-US" w:eastAsia="zh-CN"/>
        </w:rPr>
        <w:t xml:space="preserve">基本工资、机关事业单位基本养老保险缴费、职业年金缴费、职工基本医疗保险缴费、医疗费、离休费、退休费、医疗费补助</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公用经费1,927,000.00元，主要包括</w:t>
      </w:r>
      <w:r>
        <w:rPr>
          <w:rFonts w:eastAsia="仿宋_GB2312" w:hint="eastAsia"/>
          <w:sz w:val="30"/>
          <w:szCs w:val="30"/>
          <w:highlight w:val="none"/>
          <w:lang w:val="en-US" w:eastAsia="zh-CN"/>
        </w:rPr>
        <w:t xml:space="preserve">物业管理费</w:t>
      </w:r>
      <w:r>
        <w:rPr>
          <w:rFonts w:eastAsia="仿宋_GB2312" w:hint="eastAsia"/>
          <w:sz w:val="30"/>
          <w:szCs w:val="30"/>
          <w:highlight w:val="none"/>
          <w:lang w:val="en-US" w:eastAsia="zh-CN"/>
        </w:rPr>
        <w:t xml:space="preserve">。</w:t>
      </w:r>
    </w:p>
    <w:p>
      <w:pPr>
        <w:pStyle w:val="标题2"/>
        <w:spacing w:before="0" w:after="0" w:line="600" w:lineRule="exact"/>
        <w:ind w:firstLine="600" w:firstLineChars="200"/>
        <w:rPr>
          <w:rFonts w:ascii="楷体" w:eastAsia="楷体" w:hAnsi="楷体" w:cs="方正仿宋_GB2312" w:hint="eastAsia"/>
          <w:b w:val="0"/>
          <w:sz w:val="30"/>
          <w:szCs w:val="30"/>
          <w:highlight w:val="none"/>
        </w:rPr>
      </w:pPr>
      <w:bookmarkStart w:id="22" w:name="_Toc4044"/>
      <w:r>
        <w:rPr>
          <w:rFonts w:ascii="黑体" w:eastAsia="黑体" w:hAnsi="黑体" w:cs="方正仿宋_GB2312" w:hint="eastAsia"/>
          <w:bCs w:val="0"/>
          <w:sz w:val="30"/>
          <w:szCs w:val="30"/>
          <w:highlight w:val="none"/>
          <w:u w:val="none"/>
          <w:lang w:val="en-US" w:eastAsia="zh-CN"/>
        </w:rPr>
        <w:t xml:space="preserve">七、政府性基金预算财政拨款收支决算情况说明</w:t>
      </w:r>
      <w:bookmarkEnd w:id="22"/>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（一）总体情况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天津市天津医院2025年度政府性基金预算财政拨款年初结转和结余0.00元，收入69,000,000.00元，支出69,000,000.00元，年末结转和结余0.00元。与2024年度相比，政府性基金预算财政拨款支出</w:t>
      </w:r>
      <w:r>
        <w:rPr>
          <w:rFonts w:eastAsia="仿宋_GB2312" w:hint="eastAsia"/>
          <w:sz w:val="30"/>
          <w:szCs w:val="30"/>
          <w:highlight w:val="none"/>
          <w:lang w:val="en-US" w:eastAsia="zh-CN"/>
        </w:rPr>
        <w:t xml:space="preserve">增加69,000,000.00元，</w:t>
      </w:r>
      <w:r>
        <w:rPr>
          <w:rFonts w:eastAsia="仿宋_GB2312" w:hint="eastAsia"/>
          <w:sz w:val="30"/>
          <w:szCs w:val="30"/>
          <w:highlight w:val="none"/>
          <w:lang w:val="en-US" w:eastAsia="zh-CN"/>
        </w:rPr>
        <w:t xml:space="preserve">主要原因是 本年度财政下拨超长期特别国债两重两新项目资金用于天津医院医疗设备更新项目。</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（二）支出结构情况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2025年度政府性基金预算财政拨款支出69,000,000.00元，主要用于以下方面：</w:t>
      </w:r>
      <w:r>
        <w:rPr>
          <w:rFonts w:eastAsia="仿宋_GB2312" w:hint="eastAsia"/>
          <w:sz w:val="28"/>
          <w:szCs w:val="28"/>
          <w:highlight w:val="none"/>
        </w:rPr>
        <w:t xml:space="preserve">卫生健康支出（类）支出69,000,000.00元，占100.00%</w:t>
      </w:r>
      <w:r>
        <w:rPr>
          <w:rFonts w:eastAsia="仿宋_GB2312" w:hint="eastAsia"/>
          <w:sz w:val="30"/>
          <w:szCs w:val="30"/>
          <w:highlight w:val="none"/>
          <w:lang w:val="en-US" w:eastAsia="zh-CN"/>
        </w:rPr>
        <w:t xml:space="preserve">。</w:t>
      </w:r>
    </w:p>
    <w:p>
      <w:pPr>
        <w:divId w:val="0"/>
        <w:wordWrap w:val="0"/>
        <w:spacing w:line="600" w:lineRule="exact"/>
        <w:ind w:firstLine="600" w:firstLineChars="200"/>
        <w:rPr>
          <w:rFonts w:ascii="楷体" w:eastAsia="楷体" w:hAnsi="楷体" w:cs="方正仿宋_GB2312" w:hint="eastAsia"/>
          <w:b/>
          <w:sz w:val="30"/>
          <w:szCs w:val="30"/>
          <w:highlight w:val="none"/>
          <w:lang w:val="en-US" w:eastAsia="zh-CN"/>
        </w:rPr>
      </w:pPr>
      <w:r>
        <w:rPr>
          <w:rFonts w:ascii="楷体" w:eastAsia="楷体" w:hAnsi="楷体" w:cs="方正仿宋_GB2312" w:hint="eastAsia"/>
          <w:b/>
          <w:sz w:val="30"/>
          <w:szCs w:val="30"/>
          <w:highlight w:val="none"/>
          <w:lang w:val="en-US" w:eastAsia="zh-CN"/>
        </w:rPr>
        <w:t xml:space="preserve">（三）具体情况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2025年度政府性基金预算财政拨款支出年初预算为0.00元，支出决算为69,000,000.00元</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卫生健康支出（类）超长期特别国债安排的支出（款）公立医院（项）年初预算为0.00元，支出决算为69,000,000.00元，决算数大于年初预算数的主要原因是：天津医院医疗设备更新项目（超长期国债安排支出）为中期下达财政预算拨款，未包含在年初部门预算中。</w:t>
      </w:r>
    </w:p>
    <w:p>
      <w:pPr>
        <w:divId w:val="0"/>
        <w:spacing w:line="600" w:lineRule="exact"/>
        <w:ind w:firstLine="600"/>
        <w:rPr>
          <w:rFonts w:eastAsia="仿宋_GB2312" w:hint="eastAsia"/>
          <w:sz w:val="30"/>
          <w:szCs w:val="30"/>
          <w:highlight w:val="none"/>
          <w:lang w:val="en-US" w:eastAsia="zh-CN"/>
        </w:rPr>
      </w:pPr>
    </w:p>
    <w:p>
      <w:pPr>
        <w:pStyle w:val="标题2"/>
        <w:spacing w:before="0" w:after="0" w:line="600" w:lineRule="exact"/>
        <w:ind w:firstLine="600" w:firstLineChars="200"/>
        <w:rPr>
          <w:rFonts w:eastAsia="黑体" w:hint="eastAsia"/>
          <w:b w:val="0"/>
          <w:sz w:val="30"/>
          <w:szCs w:val="30"/>
          <w:highlight w:val="none"/>
        </w:rPr>
      </w:pPr>
      <w:bookmarkStart w:id="23" w:name="_Toc5943"/>
      <w:r>
        <w:rPr>
          <w:rFonts w:ascii="黑体" w:eastAsia="黑体" w:hAnsi="黑体" w:cs="方正仿宋_GB2312" w:hint="eastAsia"/>
          <w:bCs w:val="0"/>
          <w:sz w:val="30"/>
          <w:szCs w:val="30"/>
          <w:highlight w:val="none"/>
          <w:u w:val="none"/>
          <w:lang w:val="en-US" w:eastAsia="zh-CN"/>
        </w:rPr>
        <w:t xml:space="preserve">八、国有资本经营预算财政拨款收支决算情况说明</w:t>
      </w:r>
      <w:bookmarkEnd w:id="23"/>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天津市天津医院2025年度无国有资本经营预算财政拨款收入、支出和结转结余。</w:t>
      </w:r>
    </w:p>
    <w:p>
      <w:pPr>
        <w:pStyle w:val="标题2"/>
        <w:spacing w:before="0" w:after="0" w:line="600" w:lineRule="exact"/>
        <w:ind w:firstLine="600" w:firstLineChars="200"/>
        <w:rPr>
          <w:rFonts w:ascii="黑体" w:eastAsia="黑体" w:hAnsi="黑体"/>
          <w:b w:val="0"/>
          <w:sz w:val="30"/>
          <w:szCs w:val="30"/>
          <w:highlight w:val="none"/>
        </w:rPr>
      </w:pPr>
      <w:bookmarkStart w:id="24" w:name="_Toc9262"/>
      <w:r>
        <w:rPr>
          <w:rFonts w:ascii="黑体" w:eastAsia="黑体" w:hAnsi="黑体" w:cs="方正仿宋_GB2312" w:hint="eastAsia"/>
          <w:bCs w:val="0"/>
          <w:sz w:val="30"/>
          <w:szCs w:val="30"/>
          <w:highlight w:val="none"/>
          <w:u w:val="none"/>
          <w:lang w:val="en-US" w:eastAsia="zh-CN"/>
        </w:rPr>
        <w:t xml:space="preserve">九、财政拨款“三公”经费支出决算情况说明</w:t>
      </w:r>
      <w:bookmarkEnd w:id="24"/>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（一）总体情况</w:t>
      </w:r>
    </w:p>
    <w:p>
      <w:pPr>
        <w:divId w:val="0"/>
        <w:spacing w:line="600" w:lineRule="exact"/>
        <w:ind w:firstLine="600"/>
        <w:rPr>
          <w:rFonts w:eastAsia="仿宋_GB2312" w:hint="default"/>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年财政拨</w:t>
      </w:r>
      <w:r>
        <w:rPr>
          <w:rFonts w:eastAsia="仿宋_GB2312" w:hint="eastAsia"/>
          <w:sz w:val="30"/>
          <w:szCs w:val="30"/>
          <w:highlight w:val="none"/>
          <w:lang w:val="en-US" w:eastAsia="zh-CN"/>
        </w:rPr>
        <w:t xml:space="preserve">款</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w:t>
      </w:r>
      <w:r>
        <w:rPr>
          <w:rFonts w:eastAsia="仿宋_GB2312" w:hint="eastAsia"/>
          <w:sz w:val="30"/>
          <w:szCs w:val="30"/>
          <w:highlight w:val="none"/>
          <w:lang w:val="en-US" w:eastAsia="zh-CN"/>
        </w:rPr>
        <w:t xml:space="preserve">与</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决算数与预算数持平的主要原因是本年度未使用财政拨款安排“三公”经费支出；</w:t>
      </w:r>
      <w:r>
        <w:rPr>
          <w:rFonts w:eastAsia="仿宋_GB2312" w:hint="eastAsia"/>
          <w:sz w:val="30"/>
          <w:szCs w:val="30"/>
          <w:highlight w:val="none"/>
          <w:lang w:val="en-US" w:eastAsia="zh-CN"/>
        </w:rPr>
        <w:t xml:space="preserve">决算数较上年持平的主要原因是本年与上年均未使用财政拨款安排“三公”经费支出。</w:t>
      </w:r>
    </w:p>
    <w:p>
      <w:pPr>
        <w:divId w:val="0"/>
        <w:spacing w:line="600" w:lineRule="exact"/>
        <w:ind w:firstLine="600" w:firstLineChars="200"/>
        <w:rPr>
          <w:rFonts w:ascii="楷体" w:eastAsia="楷体" w:hAnsi="楷体" w:cs="楷体" w:hint="eastAsia"/>
          <w:b/>
          <w:bCs/>
          <w:sz w:val="30"/>
          <w:szCs w:val="30"/>
          <w:highlight w:val="none"/>
          <w:lang w:eastAsia="zh-CN"/>
        </w:rPr>
      </w:pPr>
      <w:r>
        <w:rPr>
          <w:rFonts w:ascii="楷体" w:eastAsia="楷体" w:hAnsi="楷体" w:cs="楷体" w:hint="eastAsia"/>
          <w:b/>
          <w:bCs/>
          <w:sz w:val="30"/>
          <w:szCs w:val="30"/>
          <w:highlight w:val="none"/>
          <w:lang w:eastAsia="zh-CN"/>
        </w:rPr>
        <w:t xml:space="preserve">（二）具体情况</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因公出国（境）费预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决算数与预算数持平的主要原因是本年度未使用财政拨款安排因公出国经费支出；</w:t>
      </w:r>
      <w:r>
        <w:rPr>
          <w:rFonts w:eastAsia="仿宋_GB2312" w:hint="eastAsia"/>
          <w:sz w:val="30"/>
          <w:szCs w:val="30"/>
          <w:highlight w:val="none"/>
          <w:lang w:val="en-US" w:eastAsia="zh-CN"/>
        </w:rPr>
        <w:t xml:space="preserve">决算数较上年持平的主要原因是本年与上年均未使用财政拨款安排因公出国经费支出。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年本单位组织的出国团</w:t>
      </w:r>
      <w:r>
        <w:rPr>
          <w:rFonts w:eastAsia="仿宋_GB2312" w:hint="eastAsia"/>
          <w:sz w:val="30"/>
          <w:szCs w:val="30"/>
          <w:highlight w:val="none"/>
          <w:lang w:val="en-US" w:eastAsia="zh-CN"/>
        </w:rPr>
        <w:t xml:space="preserve">组</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个，出</w:t>
      </w:r>
      <w:r>
        <w:rPr>
          <w:rFonts w:eastAsia="仿宋_GB2312" w:hint="eastAsia"/>
          <w:sz w:val="30"/>
          <w:szCs w:val="30"/>
          <w:highlight w:val="none"/>
          <w:lang w:val="en-US" w:eastAsia="zh-CN"/>
        </w:rPr>
        <w:t xml:space="preserve">国</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公务用车购置及运行维护费预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决算数与预算数持平的主要原因是本单位无公务用车，无相关公务用车支出；</w:t>
      </w:r>
      <w:r>
        <w:rPr>
          <w:rFonts w:eastAsia="仿宋_GB2312" w:hint="eastAsia"/>
          <w:sz w:val="30"/>
          <w:szCs w:val="30"/>
          <w:highlight w:val="none"/>
          <w:lang w:val="en-US" w:eastAsia="zh-CN"/>
        </w:rPr>
        <w:t xml:space="preserve">决算数较上年持平的主要原因是本单位无公务用车，无相关公务用车支出。</w:t>
      </w:r>
      <w:r>
        <w:rPr>
          <w:rFonts w:eastAsia="仿宋_GB2312" w:hint="eastAsia"/>
          <w:sz w:val="30"/>
          <w:szCs w:val="30"/>
          <w:highlight w:val="none"/>
          <w:lang w:val="en-US" w:eastAsia="zh-CN"/>
        </w:rPr>
        <w:t xml:space="preserve">其中：</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公务用车运行维护费预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决算数与预算数持平的主要原因是本单位无公务用车，无相关公务用车支出；</w:t>
      </w:r>
      <w:r>
        <w:rPr>
          <w:rFonts w:eastAsia="仿宋_GB2312" w:hint="eastAsia"/>
          <w:sz w:val="30"/>
          <w:szCs w:val="30"/>
          <w:highlight w:val="none"/>
          <w:lang w:val="en-US" w:eastAsia="zh-CN"/>
        </w:rPr>
        <w:t xml:space="preserve">决算数较上年持平的主要原因是本单位无公务用车，无相关公务用车支出。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w:t>
      </w:r>
      <w:r>
        <w:rPr>
          <w:rFonts w:eastAsia="仿宋_GB2312" w:hint="eastAsia"/>
          <w:sz w:val="30"/>
          <w:szCs w:val="30"/>
          <w:highlight w:val="none"/>
          <w:lang w:val="en-US" w:eastAsia="zh-CN"/>
        </w:rPr>
        <w:t xml:space="preserve">至</w:t>
      </w: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月</w:t>
      </w: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日，使用财政拨款开支运行维护费的公务用车保有量</w:t>
      </w:r>
      <w:r>
        <w:rPr>
          <w:rFonts w:eastAsia="仿宋_GB2312" w:hint="eastAsia"/>
          <w:sz w:val="30"/>
          <w:szCs w:val="30"/>
          <w:highlight w:val="none"/>
          <w:lang w:val="en-US" w:eastAsia="zh-CN"/>
        </w:rPr>
        <w:t xml:space="preserve">为</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r>
        <w:rPr>
          <w:rFonts w:eastAsia="仿宋_GB2312" w:hint="eastAsia"/>
          <w:sz w:val="30"/>
          <w:szCs w:val="30"/>
          <w:highlight w:val="none"/>
          <w:lang w:val="en-US" w:eastAsia="zh-CN"/>
        </w:rPr>
        <w:t xml:space="preserve">。</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公务用车购置费预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决算数与预算数持平的主要原因是本单位无公务用车，无相关公务用车支出；</w:t>
      </w:r>
      <w:r>
        <w:rPr>
          <w:rFonts w:eastAsia="仿宋_GB2312" w:hint="eastAsia"/>
          <w:sz w:val="30"/>
          <w:szCs w:val="30"/>
          <w:highlight w:val="none"/>
          <w:lang w:val="en-US" w:eastAsia="zh-CN"/>
        </w:rPr>
        <w:t xml:space="preserve">决算数较上年持平的主要原因是本单位无公务用车，无相关公务用车支出。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年购置公务用</w:t>
      </w:r>
      <w:r>
        <w:rPr>
          <w:rFonts w:eastAsia="仿宋_GB2312" w:hint="eastAsia"/>
          <w:sz w:val="30"/>
          <w:szCs w:val="30"/>
          <w:highlight w:val="none"/>
          <w:lang w:val="en-US" w:eastAsia="zh-CN"/>
        </w:rPr>
        <w:t xml:space="preserve">车</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辆。</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公务接待费预</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元，支出决</w:t>
      </w:r>
      <w:r>
        <w:rPr>
          <w:rFonts w:eastAsia="仿宋_GB2312" w:hint="eastAsia"/>
          <w:sz w:val="30"/>
          <w:szCs w:val="30"/>
          <w:highlight w:val="none"/>
          <w:lang w:val="en-US" w:eastAsia="zh-CN"/>
        </w:rPr>
        <w:t xml:space="preserve">算</w:t>
      </w:r>
      <w:r>
        <w:rPr>
          <w:rFonts w:eastAsia="仿宋_GB2312" w:hint="eastAsia"/>
          <w:sz w:val="30"/>
          <w:szCs w:val="30"/>
          <w:highlight w:val="none"/>
          <w:lang w:val="en-US" w:eastAsia="zh-CN"/>
        </w:rPr>
        <w:t xml:space="preserve">0.00</w:t>
      </w:r>
      <w:r>
        <w:rPr>
          <w:rFonts w:eastAsia="仿宋_GB2312" w:hint="eastAsia"/>
          <w:sz w:val="30"/>
          <w:szCs w:val="30"/>
          <w:highlight w:val="none"/>
          <w:lang w:val="en-US" w:eastAsia="zh-CN"/>
        </w:rPr>
        <w:t xml:space="preserve">元，与预算相</w:t>
      </w:r>
      <w:r>
        <w:rPr>
          <w:rFonts w:eastAsia="仿宋_GB2312" w:hint="eastAsia"/>
          <w:sz w:val="30"/>
          <w:szCs w:val="30"/>
          <w:highlight w:val="none"/>
          <w:lang w:val="en-US" w:eastAsia="zh-CN"/>
        </w:rPr>
        <w:t xml:space="preserve">比</w:t>
      </w:r>
      <w:r>
        <w:rPr>
          <w:rFonts w:eastAsia="仿宋_GB2312" w:hint="eastAsia"/>
          <w:sz w:val="30"/>
          <w:szCs w:val="30"/>
          <w:highlight w:val="none"/>
          <w:lang w:val="en-US" w:eastAsia="zh-CN"/>
        </w:rPr>
        <w:t xml:space="preserve">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支出决算较上年持平</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决算数与预算数持平的主要原因是本年度未使用财政拨款安排公务接待支出；</w:t>
      </w:r>
      <w:r>
        <w:rPr>
          <w:rFonts w:eastAsia="仿宋_GB2312" w:hint="eastAsia"/>
          <w:sz w:val="30"/>
          <w:szCs w:val="30"/>
          <w:highlight w:val="none"/>
          <w:lang w:val="en-US" w:eastAsia="zh-CN"/>
        </w:rPr>
        <w:t xml:space="preserve">决算数较上年持平的主要原因是本年与上年均未使用财政拨款安排公务接待支出。</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202</w:t>
      </w:r>
      <w:r>
        <w:rPr>
          <w:rFonts w:eastAsia="仿宋_GB2312" w:hint="eastAsia"/>
          <w:sz w:val="30"/>
          <w:szCs w:val="30"/>
          <w:highlight w:val="none"/>
          <w:lang w:val="en-US" w:eastAsia="zh-CN"/>
        </w:rPr>
        <w:t xml:space="preserve">5</w:t>
      </w:r>
      <w:r>
        <w:rPr>
          <w:rFonts w:eastAsia="仿宋_GB2312" w:hint="eastAsia"/>
          <w:sz w:val="30"/>
          <w:szCs w:val="30"/>
          <w:highlight w:val="none"/>
          <w:lang w:val="en-US" w:eastAsia="zh-CN"/>
        </w:rPr>
        <w:t xml:space="preserve">年本单位国内公务接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人次；其中，外事接</w:t>
      </w:r>
      <w:r>
        <w:rPr>
          <w:rFonts w:eastAsia="仿宋_GB2312" w:hint="eastAsia"/>
          <w:sz w:val="30"/>
          <w:szCs w:val="30"/>
          <w:highlight w:val="none"/>
          <w:lang w:val="en-US" w:eastAsia="zh-CN"/>
        </w:rPr>
        <w:t xml:space="preserve">待</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批次</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0</w:t>
      </w:r>
      <w:r>
        <w:rPr>
          <w:rFonts w:eastAsia="仿宋_GB2312" w:hint="eastAsia"/>
          <w:sz w:val="30"/>
          <w:szCs w:val="30"/>
          <w:highlight w:val="none"/>
          <w:lang w:val="en-US" w:eastAsia="zh-CN"/>
        </w:rPr>
        <w:t xml:space="preserve">人次。</w:t>
      </w:r>
    </w:p>
    <w:p>
      <w:pPr>
        <w:pStyle w:val="标题2"/>
        <w:spacing w:before="0" w:after="0" w:line="600" w:lineRule="exact"/>
        <w:ind w:firstLine="600" w:firstLineChars="200"/>
        <w:rPr>
          <w:rFonts w:ascii="黑体" w:eastAsia="黑体" w:hAnsi="黑体"/>
          <w:b w:val="0"/>
          <w:sz w:val="30"/>
          <w:szCs w:val="30"/>
          <w:highlight w:val="none"/>
        </w:rPr>
      </w:pPr>
      <w:bookmarkStart w:id="25" w:name="_Toc850"/>
      <w:r>
        <w:rPr>
          <w:rFonts w:ascii="黑体" w:eastAsia="黑体" w:hAnsi="黑体" w:cs="方正仿宋_GB2312" w:hint="eastAsia"/>
          <w:bCs w:val="0"/>
          <w:sz w:val="30"/>
          <w:szCs w:val="30"/>
          <w:highlight w:val="none"/>
          <w:u w:val="none"/>
          <w:lang w:val="en-US" w:eastAsia="zh-CN"/>
        </w:rPr>
        <w:t xml:space="preserve">十、机关运行经费支出情况说明</w:t>
      </w:r>
      <w:bookmarkEnd w:id="25"/>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天津市天津医院2025年度无机关运行经费。</w:t>
      </w:r>
    </w:p>
    <w:p>
      <w:pPr>
        <w:pStyle w:val="标题2"/>
        <w:spacing w:before="0" w:after="0" w:line="600" w:lineRule="exact"/>
        <w:ind w:firstLine="600" w:firstLineChars="200"/>
        <w:rPr>
          <w:rFonts w:ascii="黑体" w:eastAsia="黑体" w:hAnsi="黑体" w:cs="方正仿宋_GB2312" w:hint="eastAsia"/>
          <w:bCs w:val="0"/>
          <w:sz w:val="30"/>
          <w:szCs w:val="30"/>
          <w:highlight w:val="none"/>
          <w:u w:val="none"/>
          <w:lang w:val="en-US" w:eastAsia="zh-CN"/>
        </w:rPr>
      </w:pPr>
      <w:bookmarkStart w:id="26" w:name="_Toc17600"/>
      <w:r>
        <w:rPr>
          <w:rFonts w:ascii="黑体" w:eastAsia="黑体" w:hAnsi="黑体" w:cs="方正仿宋_GB2312" w:hint="eastAsia"/>
          <w:bCs w:val="0"/>
          <w:sz w:val="30"/>
          <w:szCs w:val="30"/>
          <w:highlight w:val="none"/>
          <w:u w:val="none"/>
          <w:lang w:val="en-US" w:eastAsia="zh-CN"/>
        </w:rPr>
        <w:t xml:space="preserve">十一、政府采购支出情况说明</w:t>
      </w:r>
      <w:bookmarkEnd w:id="26"/>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天津市天津医院2025年政府采购支出总额158,373,060.00元，其中：政府采购货物支出91,259,276.00元、政府采购工程支出1,535,000.00元、政府采购服务支出65,578,784.00元。授予中小企业合同金额64,759,574.00元，占政府采购支出总额的40.89%，其中：授予小微企业合同金额51,435,462.00元，占政府采购支出总额的32.48%；货物采购授予中小企业合同金额占货物支出金额的1.33%，工程采购授予中小企业合同金额占工程支出金额的100.00%，服务采购授予中小企业合同金额占服务支出金额的94.56%。</w:t>
      </w:r>
    </w:p>
    <w:p>
      <w:pPr>
        <w:pStyle w:val="标题2"/>
        <w:spacing w:before="0" w:after="0" w:line="600" w:lineRule="exact"/>
        <w:ind w:firstLine="600" w:firstLineChars="200"/>
        <w:rPr>
          <w:rFonts w:ascii="黑体" w:eastAsia="黑体" w:hAnsi="黑体" w:hint="eastAsia"/>
          <w:b w:val="0"/>
          <w:sz w:val="30"/>
          <w:szCs w:val="30"/>
          <w:highlight w:val="none"/>
        </w:rPr>
      </w:pPr>
      <w:bookmarkStart w:id="27" w:name="_Toc20762"/>
      <w:r>
        <w:rPr>
          <w:rFonts w:ascii="黑体" w:eastAsia="黑体" w:hAnsi="黑体" w:cs="方正仿宋_GB2312" w:hint="eastAsia"/>
          <w:bCs w:val="0"/>
          <w:sz w:val="30"/>
          <w:szCs w:val="30"/>
          <w:highlight w:val="none"/>
          <w:u w:val="none"/>
          <w:lang w:val="en-US" w:eastAsia="zh-CN"/>
        </w:rPr>
        <w:t xml:space="preserve">十二、国有资产占有使用情况说明</w:t>
      </w:r>
      <w:bookmarkEnd w:id="27"/>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截至2025年12月31日，天津市天津医院共有车辆2辆</w:t>
      </w:r>
      <w:r>
        <w:rPr>
          <w:rFonts w:eastAsia="仿宋_GB2312" w:hint="eastAsia"/>
          <w:sz w:val="30"/>
          <w:szCs w:val="30"/>
          <w:highlight w:val="none"/>
          <w:lang w:val="en-US" w:eastAsia="zh-CN"/>
        </w:rPr>
        <w:t xml:space="preserve">，其中：</w:t>
      </w:r>
      <w:r>
        <w:rPr>
          <w:rFonts w:eastAsia="仿宋_GB2312" w:hint="eastAsia"/>
          <w:sz w:val="30"/>
          <w:szCs w:val="30"/>
          <w:highlight w:val="none"/>
          <w:lang w:val="en-US" w:eastAsia="zh-CN"/>
        </w:rPr>
        <w:t xml:space="preserve">其他用车2辆</w:t>
      </w:r>
      <w:r>
        <w:rPr>
          <w:rFonts w:eastAsia="仿宋_GB2312" w:hint="eastAsia"/>
          <w:sz w:val="30"/>
          <w:szCs w:val="30"/>
          <w:highlight w:val="none"/>
          <w:lang w:val="en-US" w:eastAsia="zh-CN"/>
        </w:rPr>
        <w:t xml:space="preserve">，其他用车主要包括救护车</w:t>
      </w:r>
      <w:r>
        <w:rPr>
          <w:rFonts w:eastAsia="仿宋_GB2312" w:hint="eastAsia"/>
          <w:sz w:val="30"/>
          <w:szCs w:val="30"/>
          <w:highlight w:val="none"/>
          <w:lang w:val="en-US" w:eastAsia="zh-CN"/>
        </w:rPr>
        <w:t xml:space="preserve">。单价100万元以上的设备156台（套）。</w:t>
      </w:r>
    </w:p>
    <w:p>
      <w:pPr>
        <w:pStyle w:val="标题2"/>
        <w:spacing w:before="0" w:after="0" w:line="600" w:lineRule="exact"/>
        <w:ind w:firstLine="600" w:firstLineChars="200"/>
        <w:rPr>
          <w:rFonts w:ascii="黑体" w:eastAsia="黑体" w:hAnsi="黑体" w:cs="方正仿宋_GB2312" w:hint="eastAsia"/>
          <w:b/>
          <w:bCs w:val="0"/>
          <w:sz w:val="30"/>
          <w:szCs w:val="30"/>
          <w:highlight w:val="none"/>
          <w:u w:val="none"/>
          <w:lang w:val="en-US" w:eastAsia="zh-CN"/>
        </w:rPr>
      </w:pPr>
      <w:bookmarkStart w:id="28" w:name="_Toc12945"/>
      <w:r>
        <w:rPr>
          <w:rFonts w:ascii="黑体" w:eastAsia="黑体" w:hAnsi="黑体" w:cs="方正仿宋_GB2312" w:hint="eastAsia"/>
          <w:b/>
          <w:bCs w:val="0"/>
          <w:sz w:val="30"/>
          <w:szCs w:val="30"/>
          <w:highlight w:val="none"/>
          <w:u w:val="none"/>
          <w:lang w:val="en-US" w:eastAsia="zh-CN"/>
        </w:rPr>
        <w:t xml:space="preserve">十三、预算绩效情况说明</w:t>
      </w:r>
      <w:bookmarkEnd w:id="28"/>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根据预算绩效管理要求，天津市天津医院已对14个2025年度项目开展绩效自评，涉及金额 1,304,356,900 元，自评结果已随部门决算一并公开。</w:t>
      </w:r>
    </w:p>
    <w:p>
      <w:pPr>
        <w:pStyle w:val="标题2"/>
        <w:spacing w:before="0" w:after="0" w:line="600" w:lineRule="exact"/>
        <w:ind w:firstLine="600" w:firstLineChars="200"/>
        <w:rPr>
          <w:rFonts w:ascii="Times New Roman" w:eastAsia="黑体" w:hAnsi="Times New Roman"/>
          <w:b w:val="0"/>
          <w:sz w:val="30"/>
          <w:szCs w:val="30"/>
          <w:highlight w:val="none"/>
        </w:rPr>
      </w:pPr>
      <w:bookmarkStart w:id="29" w:name="_Toc20809"/>
      <w:r>
        <w:rPr>
          <w:rFonts w:ascii="黑体" w:eastAsia="黑体" w:hAnsi="黑体" w:cs="方正仿宋_GB2312" w:hint="eastAsia"/>
          <w:bCs w:val="0"/>
          <w:sz w:val="30"/>
          <w:szCs w:val="30"/>
          <w:highlight w:val="none"/>
          <w:u w:val="none"/>
          <w:lang w:val="en-US" w:eastAsia="zh-CN"/>
        </w:rPr>
        <w:t xml:space="preserve">十四、教育、医疗卫生、社会保障和就业、住房保障、涉农补贴等民生支出情况说明</w:t>
      </w:r>
      <w:bookmarkEnd w:id="29"/>
    </w:p>
    <w:p>
      <w:pPr>
        <w:divId w:val="0"/>
        <w:spacing w:line="600" w:lineRule="exact"/>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    天津市天津医院不属于乡、镇、街级单位，不涉及公开2025年度教育、医疗卫生、社会保障和就业、住房保障、涉农补贴等民生支出情况。</w:t>
      </w:r>
    </w:p>
    <w:p>
      <w:pPr>
        <w:pStyle w:val="标题1"/>
        <w:spacing w:before="0" w:after="0" w:line="600" w:lineRule="exact"/>
        <w:jc w:val="center"/>
        <w:rPr>
          <w:rFonts w:ascii="方正小标宋简体" w:eastAsia="方正小标宋简体" w:hAnsi="方正小标宋简体" w:cs="方正小标宋简体" w:hint="eastAsia"/>
          <w:b w:val="0"/>
          <w:sz w:val="48"/>
          <w:szCs w:val="48"/>
          <w:highlight w:val="none"/>
        </w:rPr>
      </w:pPr>
      <w:r>
        <w:rPr>
          <w:rFonts w:ascii="方正小标宋简体" w:eastAsia="方正小标宋简体" w:hAnsi="方正小标宋简体" w:cs="方正小标宋简体" w:hint="eastAsia"/>
          <w:b w:val="0"/>
          <w:sz w:val="48"/>
          <w:szCs w:val="48"/>
          <w:highlight w:val="none"/>
        </w:rPr>
        <w:br w:type="page"/>
      </w:r>
    </w:p>
    <w:p>
      <w:pPr>
        <w:pStyle w:val="标题1"/>
        <w:spacing w:before="0" w:after="0" w:line="600" w:lineRule="exact"/>
        <w:jc w:val="center"/>
        <w:rPr>
          <w:rFonts w:ascii="方正小标宋简体" w:eastAsia="方正小标宋简体" w:hAnsi="方正小标宋简体" w:cs="方正小标宋简体"/>
          <w:b w:val="0"/>
          <w:sz w:val="44"/>
          <w:szCs w:val="44"/>
          <w:highlight w:val="none"/>
        </w:rPr>
      </w:pPr>
      <w:bookmarkStart w:id="30" w:name="_Toc26550"/>
      <w:r>
        <w:rPr>
          <w:rFonts w:ascii="方正小标宋简体" w:eastAsia="方正小标宋简体" w:hAnsi="方正小标宋简体" w:cs="方正小标宋简体" w:hint="eastAsia"/>
          <w:b w:val="0"/>
          <w:lang w:val="en-US" w:eastAsia="zh-CN"/>
        </w:rPr>
        <w:t xml:space="preserve">第四部分  名词解释</w:t>
      </w:r>
      <w:bookmarkEnd w:id="30"/>
    </w:p>
    <w:p>
      <w:pPr>
        <w:pStyle w:val="标题1"/>
        <w:spacing w:before="0" w:after="0" w:line="600" w:lineRule="exact"/>
        <w:jc w:val="center"/>
        <w:rPr>
          <w:rFonts w:ascii="方正小标宋简体" w:eastAsia="方正小标宋简体" w:hAnsi="方正小标宋简体" w:cs="方正小标宋简体" w:hint="eastAsia"/>
          <w:b w:val="0"/>
          <w:sz w:val="44"/>
          <w:szCs w:val="44"/>
          <w:highlight w:val="none"/>
        </w:rPr>
      </w:pP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1</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部门决算。是指各部门依据国家有关法律法规规定及其履行职能情况编制，反映部门所有预算收支和结余执行结果及绩效等情况的综合性年度报告，是改进部门预算执行以及编制后续年度部门预算的参考和依据。</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2</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机关运行经费。反映行政单位（含参照公务员管理事业单位）财政拨款基本支出中的公用经费支出，主要为保障行政单位（含参照公务员管理事业单位）运行用于购买货物和服务的各项资金，包括办公费、印刷费、水费、电费、邮电费、取暖费、物业管理费、差旅费、会议费、公务用车运行维护费以及其他费用。</w:t>
      </w:r>
    </w:p>
    <w:p>
      <w:pPr>
        <w:divId w:val="0"/>
        <w:spacing w:line="600" w:lineRule="exact"/>
        <w:ind w:firstLine="600"/>
        <w:rPr>
          <w:rFonts w:eastAsia="仿宋_GB2312" w:hint="eastAsia"/>
          <w:sz w:val="30"/>
          <w:szCs w:val="30"/>
          <w:highlight w:val="none"/>
          <w:lang w:val="en-US" w:eastAsia="zh-CN"/>
        </w:rPr>
      </w:pPr>
      <w:r>
        <w:rPr>
          <w:rFonts w:eastAsia="仿宋_GB2312" w:hint="eastAsia"/>
          <w:sz w:val="30"/>
          <w:szCs w:val="30"/>
          <w:highlight w:val="none"/>
          <w:lang w:val="en-US" w:eastAsia="zh-CN"/>
        </w:rPr>
        <w:t xml:space="preserve">3</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三</w:t>
      </w:r>
      <w:r>
        <w:rPr>
          <w:rFonts w:eastAsia="仿宋_GB2312" w:hint="eastAsia"/>
          <w:sz w:val="30"/>
          <w:szCs w:val="30"/>
          <w:highlight w:val="none"/>
          <w:lang w:val="en-US" w:eastAsia="zh-CN"/>
        </w:rPr>
        <w:t xml:space="preserve">公</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经费。是指各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牌照费）及燃料费、新能源汽车充电费、维修费、过桥过路费、保险费、安全奖励费用等支出；公务接待费反映单位按规定开支的各类公务接待（含外宾接待）支出</w:t>
      </w:r>
      <w:r>
        <w:rPr>
          <w:rFonts w:eastAsia="仿宋_GB2312" w:hint="eastAsia"/>
          <w:sz w:val="30"/>
          <w:szCs w:val="30"/>
          <w:highlight w:val="none"/>
          <w:lang w:val="en-US" w:eastAsia="zh-CN"/>
        </w:rPr>
        <w:t xml:space="preserve">。</w:t>
      </w:r>
      <w:r>
        <w:rPr>
          <w:rFonts w:eastAsia="仿宋_GB2312" w:hint="eastAsia"/>
          <w:sz w:val="30"/>
          <w:szCs w:val="30"/>
          <w:highlight w:val="none"/>
          <w:lang w:val="en-US" w:eastAsia="zh-CN"/>
        </w:rPr>
        <w:t xml:space="preserve"> </w:t>
      </w:r>
    </w:p>
    <w:sectPr>
      <w:footerReference w:type="default" r:id="rId8"/>
      <w:pgSz w:w="11906" w:h="16838" w:orient="portrait"/>
      <w:pgMar w:top="1440" w:right="1800" w:bottom="1440" w:left="1800" w:header="851" w:footer="992" w:gutter="0"/>
      <w:pgBorders w:zOrder="front" w:display="allPages" w:offsetFrom="text">
        <w:top w:val="none" w:sz="0" w:space="0" w:color="auto"/>
        <w:left w:val="none" w:sz="0" w:space="0" w:color="auto"/>
        <w:bottom w:val="none" w:sz="0" w:space="0" w:color="auto"/>
        <w:right w:val="none" w:sz="0" w:space="0" w:color="auto"/>
      </w:pgBorders>
      <w:pgNumType w:fmt="decimal"/>
      <w:textDirection w:val="lrTb"/>
      <w:docGrid w:type="lines" w:linePitch="312" w:charSpace="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auto"/>
    <w:pitch w:val="default"/>
    <w:sig w:usb0="E0002EFF" w:usb1="C000785B" w:usb2="00000009" w:usb3="00000000" w:csb0="400001FF" w:csb1="FFFF0000"/>
  </w:font>
  <w:font w:name="宋体">
    <w:panose1 w:val="02010600030101010101"/>
    <w:charset w:val="FFFFFF86"/>
    <w:family w:val="auto"/>
    <w:pitch w:val="default"/>
    <w:sig w:usb0="00000203" w:usb1="288F0000" w:usb2="00000006" w:usb3="00000000" w:csb0="00040001" w:csb1="00000000"/>
    <w:embedRegular r:id="rId1" w:subsetted="1" w:fontKey="{2E5CA51D-272C-4C85-8F43-19D74B0BE3AF}"/>
    <w:embedBold r:id="rId2" w:subsetted="1" w:fontKey="{438C518F-C465-4D90-9227-C7B3D094746C}"/>
  </w:font>
  <w:font w:name="Cambria">
    <w:panose1 w:val="02040503050406030204"/>
    <w:charset w:val="00"/>
    <w:family w:val="roman"/>
    <w:pitch w:val="default"/>
    <w:sig w:usb0="E00006FF" w:usb1="420024FF" w:usb2="02000000" w:usb3="00000000" w:csb0="2000019F" w:csb1="00000000"/>
    <w:embedRegular r:id="rId3" w:fontKey="{C540E7AA-60EF-47F5-A768-4F223B172BFB}"/>
  </w:font>
  <w:font w:name="Calibri">
    <w:panose1 w:val="020F0502020204030204"/>
    <w:charset w:val="00"/>
    <w:family w:val="swiss"/>
    <w:pitch w:val="default"/>
    <w:sig w:usb0="E4002EFF" w:usb1="C200247B" w:usb2="00000009" w:usb3="00000000" w:csb0="200001FF" w:csb1="00000000"/>
    <w:embedRegular r:id="rId4" w:fontKey="{2F62F04F-41A1-4B7F-9AA6-04C16A71B7D0}"/>
  </w:font>
  <w:font w:name="黑体">
    <w:panose1 w:val="02010609060101010101"/>
    <w:charset w:val="FFFFFF86"/>
    <w:family w:val="auto"/>
    <w:pitch w:val="default"/>
    <w:sig w:usb0="800002BF" w:usb1="38CF7CFA" w:usb2="00000016" w:usb3="00000000" w:csb0="00040001" w:csb1="00000000"/>
    <w:embedRegular r:id="rId5" w:subsetted="1" w:fontKey="{BC661174-4ABD-4DA9-A54A-8DDF00745128}"/>
    <w:embedBold r:id="rId6" w:subsetted="1" w:fontKey="{1FB207C5-3696-4715-9B61-FA8BC107FA46}"/>
  </w:font>
  <w:font w:name="方正小标宋简体">
    <w:altName w:val="黑体"/>
    <w:panose1 w:val="02000000000000000000"/>
    <w:charset w:val="FFFFFF86"/>
    <w:family w:val="auto"/>
    <w:pitch w:val="default"/>
    <w:sig w:usb0="00000001" w:usb1="08000000" w:usb2="00000000" w:usb3="00000000" w:csb0="00040000" w:csb1="00000000"/>
    <w:embedRegular r:id="rId7" w:fontKey="{9769EE1E-5625-493A-BF59-8C8CB1327E7A}"/>
    <w:embedBold r:id="rId8" w:fontKey="{80C4B9A4-39EC-4B8B-91C1-E140ED1E2752}"/>
  </w:font>
  <w:font w:name="仿宋">
    <w:panose1 w:val="02010609060101010101"/>
    <w:charset w:val="FFFFFF86"/>
    <w:family w:val="auto"/>
    <w:pitch w:val="default"/>
    <w:sig w:usb0="800002BF" w:usb1="38CF7CFA" w:usb2="00000016" w:usb3="00000000" w:csb0="00040001" w:csb1="00000000"/>
    <w:embedRegular r:id="rId9" w:subsetted="1" w:fontKey="{2C978D05-FE06-4867-9172-82CEEE0FF151}"/>
  </w:font>
  <w:font w:name="方正仿宋_GB2312">
    <w:altName w:val="仿宋"/>
    <w:panose1 w:val="02000000000000000000"/>
    <w:charset w:val="FFFFFF86"/>
    <w:family w:val="auto"/>
    <w:pitch w:val="default"/>
    <w:sig w:usb0="A00002BF" w:usb1="184F6CFA" w:usb2="00000012" w:usb3="00000000" w:csb0="00040001" w:csb1="00000000"/>
  </w:font>
  <w:font w:name="仿宋_GB2312">
    <w:altName w:val="仿宋"/>
    <w:panose1 w:val="02010609030101010101"/>
    <w:charset w:val="FFFFFF86"/>
    <w:family w:val="auto"/>
    <w:pitch w:val="default"/>
    <w:sig w:usb0="00000001" w:usb1="080E0000" w:usb2="00000000" w:usb3="00000000" w:csb0="00040000" w:csb1="00000000"/>
    <w:embedRegular r:id="rId10" w:fontKey="{F499CCBC-A2A5-45B7-A49D-0688E2F5A4D6}"/>
  </w:font>
  <w:font w:name="方正楷体_GB2312">
    <w:altName w:val="宋体"/>
    <w:panose1 w:val="02000000000000000000"/>
    <w:charset w:val="FFFFFF86"/>
    <w:family w:val="auto"/>
    <w:pitch w:val="default"/>
    <w:sig w:usb0="A00002BF" w:usb1="184F6CFA" w:usb2="00000012" w:usb3="00000000" w:csb0="00040001" w:csb1="00000000"/>
    <w:embedRegular r:id="rId11" w:fontKey="{7BFC1E7B-166B-4F74-81D6-A7EC6C98B528}"/>
  </w:font>
  <w:font w:name="等线">
    <w:panose1 w:val="02010600030101010101"/>
    <w:charset w:val="FFFFFF86"/>
    <w:family w:val="auto"/>
    <w:pitch w:val="default"/>
    <w:sig w:usb0="A00002BF" w:usb1="38CF7CFA" w:usb2="00000016" w:usb3="00000000" w:csb0="0004000F" w:csb1="00000000"/>
  </w:font>
  <w:font w:name="楷体">
    <w:panose1 w:val="02010609060101010101"/>
    <w:charset w:val="FFFFFF86"/>
    <w:family w:val="decorative"/>
    <w:pitch w:val="default"/>
    <w:sig w:usb0="800002BF" w:usb1="38CF7CFA" w:usb2="00000016" w:usb3="00000000" w:csb0="00040001" w:csb1="00000000"/>
    <w:embedRegular r:id="rId12" w:subsetted="1" w:fontKey="{F90EF875-C87A-41D1-AC56-D031F2B45C66}"/>
    <w:embedBold r:id="rId13" w:subsetted="1" w:fontKey="{1E89A7AE-97FA-4292-815C-3B2695F6715C}"/>
  </w:font>
  <w:font w:name="Arial">
    <w:charset w:val="00"/>
    <w:family w:val="auto"/>
    <w:pitch w:val="default"/>
  </w:font>
  <w:font w:name="方正仿宋">
    <w:charset w:val="01"/>
    <w:family w:val="auto"/>
    <w:pitch w:val="default"/>
  </w:font>
  <w:font w:name="方正楷体">
    <w:charset w:val="01"/>
    <w:family w:val="auto"/>
    <w:pitch w:val="default"/>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6" o:spid="_x0000_s2049" type="#_x0000_t202" style="width:2in;height:2in;margin-top:0;margin-left:0;mso-position-horizontal:center;mso-position-horizontal-relative:margin;mso-wrap-style:none;position:absolute;z-index:251658240"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w:t>
                </w:r>
                <w:r>
                  <w:fldChar w:fldCharType="end"/>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7" o:spid="_x0000_s2050" type="#_x0000_t202" style="width:2in;height:2in;margin-top:0;margin-left:0;mso-position-horizontal:center;mso-position-horizontal-relative:margin;mso-wrap-style:none;position:absolute;z-index:251659264"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6</w:t>
                </w:r>
                <w:r>
                  <w:fldChar w:fldCharType="end"/>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28" o:spid="_x0000_s2051" type="#_x0000_t202" style="width:2in;height:2in;margin-top:0;margin-left:0;mso-position-horizontal:center;mso-position-horizontal-relative:margin;mso-wrap-style:none;position:absolute;z-index:251660288"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21</w:t>
                </w:r>
                <w: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Style w:val="页脚"/>
      <w:tabs>
        <w:tab w:val="center" w:pos="4153"/>
        <w:tab w:val="right" w:pos="8306"/>
      </w:tabs>
    </w:pPr>
    <w:r>
      <w:rPr>
        <w:sz w:val="18"/>
      </w:rPr>
      <w:pict>
        <v:shapetype id="_x0000_t202" coordsize="21600,21600" o:spt="202" path="m,l,21600r21600,l21600,xe">
          <v:stroke joinstyle="miter"/>
          <v:path gradientshapeok="t" o:connecttype="rect"/>
        </v:shapetype>
        <v:shape id="文本框 7" o:spid="_x0000_s2052" type="#_x0000_t202" style="width:2in;height:2in;margin-top:0;margin-left:0;mso-position-horizontal:center;mso-position-horizontal-relative:margin;mso-wrap-style:none;position:absolute;z-index:251661312" filled="f" stroked="f" strokeweight="1.25pt">
          <v:stroke linestyle="single"/>
          <o:lock v:ext="edit" aspectratio="f"/>
          <v:textbox style="mso-fit-shape-to-text:t" inset="0,0,0,0">
            <w:txbxContent>
              <w:p>
                <w:pPr>
                  <w:pStyle w:val="页脚"/>
                  <w:tabs>
                    <w:tab w:val="center" w:pos="4153"/>
                    <w:tab w:val="right" w:pos="8306"/>
                  </w:tabs>
                </w:pPr>
                <w:r>
                  <w:fldChar w:fldCharType="begin"/>
                </w:r>
                <w:r>
                  <w:instrText xml:space="preserve"> PAGE  \* MERGEFORMAT </w:instrText>
                </w:r>
                <w:r>
                  <w:fldChar w:fldCharType="separate"/>
                </w:r>
                <w:r>
                  <w:t xml:space="preserve">31</w:t>
                </w:r>
                <w:r>
                  <w:fldChar w:fldCharType="end"/>
                </w:r>
              </w:p>
            </w:txbxContent>
          </v:textbox>
          <w10:wrap anchorx="margin"/>
        </v:shape>
      </w:pic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bordersDoNotSurroundFooter w:val="0"/>
  <w:bordersDoNotSurroundHeader w:val="0"/>
  <w:stylePaneFormatFilter w:val="3F01"/>
  <w:doNotTrackMoves/>
  <w:defaultTabStop w:val="420.0"/>
  <w:drawingGridVerticalSpacing w:val="156"/>
  <w:noPunctuationKerning/>
  <w:characterSpacingControl w:val="compressPunctuation"/>
  <w:noLineBreaksAfter w:lang="en-US" w:val="([{·‘“〈《「『【〔〖（．［｛￡￥"/>
  <w:noLineBreaksBefore w:lang="en-US" w:val="!),.:;?]}¨·ˇˉ―‖’”…∶、。〃々〉》」』】〕〗！＂＇），．：；？］｀｜｝～￠"/>
  <w:endnotePr>
    <w:numFmt w:val="decimal"/>
  </w:endnotePr>
  <w:compat>
    <w:spaceForUL/>
    <w:balanceSingleByteDoubleByteWidth/>
    <w:doNotLeaveBackslashAlon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000000"/>
  </w:rsids>
  <w:docVars>
    <w:docVar w:name="commondata" w:val="eyJoZGlkIjoiOTM0ZDdjZmNhMDU3OGRjODI0Y2FhODMxNDQzMzM1NjMifQ=="/>
  </w:docVars>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unhideWhenUsed="0" w:qFormat="1"/>
    <w:lsdException w:name="header" w:semiHidden="0" w:uiPriority="0"/>
    <w:lsdException w:name="footer" w:semiHidden="0" w:uiPriority="0" w:qFormat="1"/>
    <w:lsdException w:name="caption" w:uiPriority="35" w:qFormat="1"/>
    <w:lsdException w:name="Title" w:semiHidden="0" w:uiPriority="10" w:unhideWhenUsed="0" w:qFormat="1"/>
    <w:lsdException w:name="Default Paragraph Font" w:semiHidden="0" w:uiPriority="0"/>
    <w:lsdException w:name="Body Text Indent" w:semiHidden="0" w:qFormat="1"/>
    <w:lsdException w:name="Subtitle" w:semiHidden="0" w:uiPriority="11" w:unhideWhenUsed="0" w:qFormat="1"/>
    <w:lsdException w:name="Body Text First Indent 2" w:semiHidden="0" w:qFormat="1"/>
    <w:lsdException w:name="Hyperlink" w:semiHidden="0"/>
    <w:lsdException w:name="Strong" w:semiHidden="0" w:uiPriority="22" w:unhideWhenUsed="0" w:qFormat="1"/>
    <w:lsdException w:name="Emphasis" w:semiHidden="0" w:uiPriority="20" w:unhideWhenUsed="0" w:qFormat="1"/>
    <w:lsdException w:name="Normal (Web)" w:semiHidden="0" w:qFormat="1"/>
    <w:lsdException w:name="Normal Table" w:semiHidden="0"/>
    <w:lsdException w:name="Balloon Text" w:semiHidden="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divId w:val="0"/>
      <w:widowControl w:val="0"/>
      <w:adjustRightInd w:val="0"/>
      <w:spacing w:line="360" w:lineRule="atLeast"/>
      <w:textAlignment w:val="baseline"/>
    </w:pPr>
    <w:rPr>
      <w:rFonts w:ascii="Times New Roman" w:eastAsia="宋体" w:hAnsi="Times New Roman" w:cs="Times New Roman"/>
      <w:sz w:val="24"/>
      <w:lang w:val="en-US" w:eastAsia="zh-CN" w:bidi="ar-SA"/>
    </w:rPr>
  </w:style>
  <w:style w:type="paragraph" w:styleId="标题1">
    <w:name w:val="标题 1"/>
    <w:basedOn w:val="Normal"/>
    <w:next w:val="Normal"/>
    <w:link w:val="标题1Char"/>
    <w:uiPriority w:val="9"/>
    <w:qFormat/>
    <w:pPr>
      <w:keepNext/>
      <w:keepLines/>
      <w:spacing w:before="340" w:after="330" w:line="578" w:lineRule="atLeast"/>
      <w:outlineLvl w:val="0"/>
    </w:pPr>
    <w:rPr>
      <w:b/>
      <w:bCs/>
      <w:kern w:val="44.0"/>
      <w:sz w:val="44"/>
      <w:szCs w:val="44"/>
    </w:rPr>
  </w:style>
  <w:style w:type="paragraph" w:styleId="标题2">
    <w:name w:val="标题 2"/>
    <w:basedOn w:val="Normal"/>
    <w:next w:val="Normal"/>
    <w:link w:val="标题2Char"/>
    <w:uiPriority w:val="9"/>
    <w:unhideWhenUsed/>
    <w:qFormat/>
    <w:pPr>
      <w:keepNext/>
      <w:keepLines/>
      <w:spacing w:before="260" w:after="260" w:line="416" w:lineRule="atLeast"/>
      <w:outlineLvl w:val="1"/>
    </w:pPr>
    <w:rPr>
      <w:rFonts w:ascii="Cambria" w:eastAsia="宋体" w:hAnsi="Cambria" w:cs="Times New Roman"/>
      <w:b/>
      <w:bCs/>
      <w:sz w:val="32"/>
      <w:szCs w:val="32"/>
    </w:rPr>
  </w:style>
  <w:style w:type="paragraph" w:styleId="标题3">
    <w:name w:val="标题 3"/>
    <w:basedOn w:val="Normal"/>
    <w:next w:val="Normal"/>
    <w:link w:val="标题3Char"/>
    <w:uiPriority w:val="9"/>
    <w:unhideWhenUsed/>
    <w:qFormat/>
    <w:pPr>
      <w:keepNext/>
      <w:keepLines/>
      <w:spacing w:before="260" w:after="260" w:line="416" w:lineRule="atLeast"/>
      <w:outlineLvl w:val="2"/>
    </w:pPr>
    <w:rPr>
      <w:b/>
      <w:bCs/>
      <w:sz w:val="32"/>
      <w:szCs w:val="32"/>
    </w:rPr>
  </w:style>
  <w:style w:type="character" w:default="1" w:styleId="DefaultParagraphFont">
    <w:name w:val="Default Paragraph Font"/>
    <w:unhideWhenUsed/>
  </w:style>
  <w:style w:type="table" w:styleId="普通表格">
    <w:name w:val="普通表格"/>
    <w:uiPriority w:val="99"/>
    <w:unhideWhenUsed/>
    <w:tblP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Pr>
  </w:style>
  <w:style w:type="character" w:styleId="标题1Char">
    <w:name w:val="标题 1 Char"/>
    <w:link w:val="标题1"/>
    <w:uiPriority w:val="9"/>
    <w:rPr>
      <w:b/>
      <w:bCs/>
      <w:kern w:val="44.0"/>
      <w:sz w:val="44"/>
      <w:szCs w:val="44"/>
    </w:rPr>
  </w:style>
  <w:style w:type="character" w:styleId="标题2Char">
    <w:name w:val="标题 2 Char"/>
    <w:link w:val="标题2"/>
    <w:uiPriority w:val="9"/>
    <w:semiHidden/>
    <w:rPr>
      <w:rFonts w:ascii="Cambria" w:eastAsia="宋体" w:hAnsi="Cambria" w:cs="Times New Roman"/>
      <w:b/>
      <w:bCs/>
      <w:sz w:val="32"/>
      <w:szCs w:val="32"/>
    </w:rPr>
  </w:style>
  <w:style w:type="character" w:styleId="标题3Char">
    <w:name w:val="标题 3 Char"/>
    <w:link w:val="标题3"/>
    <w:uiPriority w:val="9"/>
    <w:semiHidden/>
    <w:rPr>
      <w:b/>
      <w:bCs/>
      <w:sz w:val="32"/>
      <w:szCs w:val="32"/>
    </w:rPr>
  </w:style>
  <w:style w:type="paragraph" w:styleId="正文文本缩进">
    <w:name w:val="正文文本缩进"/>
    <w:basedOn w:val="Normal"/>
    <w:next w:val="正文首行缩进2"/>
    <w:uiPriority w:val="99"/>
    <w:unhideWhenUsed/>
    <w:qFormat/>
    <w:pPr>
      <w:spacing w:after="120"/>
      <w:ind w:left="420" w:leftChars="200"/>
      <w:jc w:val="left"/>
    </w:pPr>
    <w:rPr>
      <w:rFonts w:ascii="宋体" w:hAnsi="宋体" w:cs="宋体"/>
      <w:kern w:val="0.0"/>
      <w:sz w:val="24"/>
      <w:lang w:val="en-US" w:eastAsia="zh-CN"/>
    </w:rPr>
  </w:style>
  <w:style w:type="paragraph" w:styleId="正文首行缩进2">
    <w:name w:val="正文首行缩进 2"/>
    <w:basedOn w:val="正文文本缩进"/>
    <w:next w:val="Normal"/>
    <w:uiPriority w:val="99"/>
    <w:unhideWhenUsed/>
    <w:qFormat/>
    <w:pPr>
      <w:ind w:left="420" w:firstLine="420" w:firstLineChars="200"/>
      <w:jc w:val="left"/>
    </w:pPr>
    <w:rPr>
      <w:lang w:val="en-US" w:eastAsia="zh-CN"/>
    </w:rPr>
  </w:style>
  <w:style w:type="paragraph" w:styleId="目录3">
    <w:name w:val="目录 3"/>
    <w:basedOn w:val="Normal"/>
    <w:next w:val="Normal"/>
    <w:uiPriority w:val="39"/>
    <w:unhideWhenUsed/>
    <w:qFormat/>
    <w:pPr>
      <w:widowControl/>
      <w:adjustRightInd/>
      <w:spacing w:after="100" w:line="276" w:lineRule="auto"/>
      <w:ind w:left="440"/>
      <w:textAlignment w:val="auto"/>
    </w:pPr>
    <w:rPr>
      <w:rFonts w:ascii="Calibri" w:eastAsia="宋体" w:hAnsi="Calibri" w:cs="Times New Roman"/>
      <w:sz w:val="22"/>
      <w:szCs w:val="22"/>
    </w:rPr>
  </w:style>
  <w:style w:type="paragraph" w:styleId="批注框文本">
    <w:name w:val="批注框文本"/>
    <w:basedOn w:val="Normal"/>
    <w:link w:val="批注框文本Char"/>
    <w:uiPriority w:val="99"/>
    <w:unhideWhenUsed/>
    <w:pPr>
      <w:spacing w:line="240" w:lineRule="auto"/>
    </w:pPr>
    <w:rPr>
      <w:sz w:val="18"/>
      <w:szCs w:val="18"/>
    </w:rPr>
  </w:style>
  <w:style w:type="character" w:styleId="批注框文本Char">
    <w:name w:val="批注框文本 Char"/>
    <w:link w:val="批注框文本"/>
    <w:uiPriority w:val="99"/>
    <w:semiHidden/>
    <w:rPr>
      <w:sz w:val="18"/>
      <w:szCs w:val="18"/>
    </w:rPr>
  </w:style>
  <w:style w:type="paragraph" w:styleId="页脚">
    <w:name w:val="页脚"/>
    <w:basedOn w:val="Normal"/>
    <w:link w:val="页脚Char"/>
    <w:unhideWhenUsed/>
    <w:qFormat/>
    <w:pPr>
      <w:tabs>
        <w:tab w:val="center" w:pos="4153"/>
        <w:tab w:val="right" w:pos="8306"/>
      </w:tabs>
      <w:snapToGrid w:val="0"/>
      <w:spacing w:line="240" w:lineRule="atLeast"/>
    </w:pPr>
    <w:rPr>
      <w:sz w:val="18"/>
      <w:szCs w:val="18"/>
    </w:rPr>
  </w:style>
  <w:style w:type="character" w:styleId="页脚Char">
    <w:name w:val="页脚 Char"/>
    <w:link w:val="页脚"/>
    <w:semiHidden/>
    <w:rPr>
      <w:sz w:val="18"/>
      <w:szCs w:val="18"/>
    </w:rPr>
  </w:style>
  <w:style w:type="paragraph" w:styleId="页眉">
    <w:name w:val="页眉"/>
    <w:basedOn w:val="Normal"/>
    <w:link w:val="页眉Char"/>
    <w:unhideWhenUsed/>
    <w:pPr>
      <w:pBdr>
        <w:bottom w:val="single" w:sz="6" w:space="1" w:color="auto"/>
      </w:pBdr>
      <w:tabs>
        <w:tab w:val="center" w:pos="4153"/>
        <w:tab w:val="right" w:pos="8306"/>
      </w:tabs>
      <w:snapToGrid w:val="0"/>
      <w:spacing w:line="240" w:lineRule="atLeast"/>
      <w:jc w:val="center"/>
    </w:pPr>
    <w:rPr>
      <w:sz w:val="18"/>
      <w:szCs w:val="18"/>
    </w:rPr>
  </w:style>
  <w:style w:type="character" w:styleId="页眉Char">
    <w:name w:val="页眉 Char"/>
    <w:link w:val="页眉"/>
    <w:semiHidden/>
    <w:rPr>
      <w:sz w:val="18"/>
      <w:szCs w:val="18"/>
    </w:rPr>
  </w:style>
  <w:style w:type="paragraph" w:styleId="目录1">
    <w:name w:val="目录 1"/>
    <w:basedOn w:val="Normal"/>
    <w:next w:val="Normal"/>
    <w:uiPriority w:val="39"/>
    <w:unhideWhenUsed/>
    <w:qFormat/>
    <w:pPr>
      <w:widowControl/>
      <w:tabs>
        <w:tab w:val="right" w:leader="dot" w:pos="8296"/>
      </w:tabs>
      <w:adjustRightInd/>
      <w:spacing w:after="100" w:line="276" w:lineRule="auto"/>
      <w:textAlignment w:val="auto"/>
    </w:pPr>
    <w:rPr>
      <w:rFonts w:ascii="黑体" w:eastAsia="黑体" w:hAnsi="黑体" w:cs="方正小标宋简体"/>
      <w:sz w:val="22"/>
      <w:szCs w:val="22"/>
    </w:rPr>
  </w:style>
  <w:style w:type="paragraph" w:styleId="脚注文本">
    <w:name w:val="脚注文本"/>
    <w:basedOn w:val="Normal"/>
    <w:next w:val="正文首行缩进2"/>
    <w:semiHidden/>
    <w:qFormat/>
    <w:pPr>
      <w:snapToGrid w:val="0"/>
      <w:jc w:val="left"/>
    </w:pPr>
    <w:rPr>
      <w:sz w:val="18"/>
      <w:szCs w:val="18"/>
      <w:lang w:val="en-US" w:eastAsia="zh-CN"/>
    </w:rPr>
  </w:style>
  <w:style w:type="paragraph" w:styleId="目录2">
    <w:name w:val="目录 2"/>
    <w:basedOn w:val="Normal"/>
    <w:next w:val="Normal"/>
    <w:uiPriority w:val="39"/>
    <w:unhideWhenUsed/>
    <w:qFormat/>
    <w:pPr>
      <w:widowControl/>
      <w:adjustRightInd/>
      <w:spacing w:after="100" w:line="276" w:lineRule="auto"/>
      <w:ind w:left="220"/>
      <w:textAlignment w:val="auto"/>
    </w:pPr>
    <w:rPr>
      <w:rFonts w:ascii="Calibri" w:eastAsia="宋体" w:hAnsi="Calibri" w:cs="Times New Roman"/>
      <w:sz w:val="22"/>
      <w:szCs w:val="22"/>
    </w:rPr>
  </w:style>
  <w:style w:type="paragraph" w:styleId="普通(网站)">
    <w:name w:val="普通(网站)"/>
    <w:basedOn w:val="Normal"/>
    <w:uiPriority w:val="99"/>
    <w:unhideWhenUsed/>
    <w:qFormat/>
    <w:rPr>
      <w:sz w:val="24"/>
    </w:rPr>
  </w:style>
  <w:style w:type="character" w:styleId="Hyperlink">
    <w:name w:val="超链接"/>
    <w:uiPriority w:val="99"/>
    <w:unhideWhenUsed/>
    <w:rPr>
      <w:color w:val="0000FF"/>
      <w:u w:val="single"/>
    </w:rPr>
  </w:style>
  <w:style w:type="paragraph" w:styleId="TOC标题">
    <w:name w:val="TOC 标题"/>
    <w:basedOn w:val="标题1"/>
    <w:next w:val="Normal"/>
    <w:uiPriority w:val="39"/>
    <w:unhideWhenUsed/>
    <w:qFormat/>
    <w:pPr>
      <w:widowControl/>
      <w:adjustRightInd/>
      <w:spacing w:before="480" w:after="0" w:line="276" w:lineRule="auto"/>
      <w:textAlignment w:val="auto"/>
      <w:outlineLvl w:val="9"/>
    </w:pPr>
    <w:rPr>
      <w:rFonts w:ascii="Cambria" w:eastAsia="宋体" w:hAnsi="Cambria" w:cs="Times New Roman"/>
      <w:color w:val="365F91"/>
      <w:kern w:val="0.0"/>
      <w:sz w:val="28"/>
      <w:szCs w:val="28"/>
    </w:rPr>
  </w:style>
  <w:style w:type="character" w:styleId="font41">
    <w:name w:val="font41"/>
    <w:basedOn w:val="DefaultParagraphFont"/>
    <w:qFormat/>
    <w:rPr>
      <w:rFonts w:ascii="宋体" w:eastAsia="宋体" w:hAnsi="宋体" w:cs="宋体" w:hint="eastAsia"/>
      <w:color w:val="000000"/>
      <w:sz w:val="20"/>
      <w:szCs w:val="20"/>
      <w:u w:val="none"/>
    </w:rPr>
  </w:style>
  <w:style w:type="character" w:styleId="font11">
    <w:name w:val="font11"/>
    <w:basedOn w:val="DefaultParagraphFont"/>
    <w:qFormat/>
    <w:rPr>
      <w:rFonts w:ascii="宋体" w:eastAsia="宋体" w:hAnsi="宋体" w:cs="宋体" w:hint="eastAsia"/>
      <w:color w:val="000000"/>
      <w:sz w:val="22"/>
      <w:szCs w:val="22"/>
      <w:u w:val="none"/>
    </w:rPr>
  </w:style>
  <w:style w:type="table" w:styleId="普通表格1">
    <w:name w:val="普通表格1"/>
    <w:uiPriority w:val="99"/>
    <w:unhideWhenUsed/>
    <w:tblPr>
      <w:tblCellMar>
        <w:top w:w="0" w:type="dxa"/>
        <w:left w:w="108" w:type="dxa"/>
        <w:bottom w:w="0" w:type="dxa"/>
        <w:right w:w="108" w:type="dxa"/>
      </w:tblCellMar>
    </w:tblPr>
  </w:style>
  <w:style w:type="table" w:default="1" w:styleId="NormalTable">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NormalTable"/>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11" Type="http://schemas.openxmlformats.org/officeDocument/2006/relationships/fontTable" Target="fontTable.xml" /><Relationship Id="rId2" Type="http://schemas.openxmlformats.org/officeDocument/2006/relationships/webSettings" Target="webSettings.xml" /><Relationship Id="rId3" Type="http://schemas.openxmlformats.org/officeDocument/2006/relationships/customXml" Target="../customXml/item1.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theme" Target="theme/theme1.xml" /></Relationships>
</file>

<file path=word/_rels/fontTable.xml.rels>&#65279;<?xml version="1.0" encoding="utf-8" standalone="yes"?><Relationships xmlns="http://schemas.openxmlformats.org/package/2006/relationships"><Relationship Id="rId1" Type="http://schemas.openxmlformats.org/officeDocument/2006/relationships/font" Target="fonts/font0.odttf" /><Relationship Id="rId10" Type="http://schemas.openxmlformats.org/officeDocument/2006/relationships/font" Target="fonts/font9.odttf" /><Relationship Id="rId11" Type="http://schemas.openxmlformats.org/officeDocument/2006/relationships/font" Target="fonts/font10.odttf" /><Relationship Id="rId12" Type="http://schemas.openxmlformats.org/officeDocument/2006/relationships/font" Target="fonts/font11.odttf" /><Relationship Id="rId13" Type="http://schemas.openxmlformats.org/officeDocument/2006/relationships/font" Target="fonts/font12.odttf" /><Relationship Id="rId2" Type="http://schemas.openxmlformats.org/officeDocument/2006/relationships/font" Target="fonts/font1.odttf" /><Relationship Id="rId3" Type="http://schemas.openxmlformats.org/officeDocument/2006/relationships/font" Target="fonts/font2.odttf" /><Relationship Id="rId4" Type="http://schemas.openxmlformats.org/officeDocument/2006/relationships/font" Target="fonts/font3.odttf" /><Relationship Id="rId5" Type="http://schemas.openxmlformats.org/officeDocument/2006/relationships/font" Target="fonts/font4.odttf" /><Relationship Id="rId6" Type="http://schemas.openxmlformats.org/officeDocument/2006/relationships/font" Target="fonts/font5.odttf" /><Relationship Id="rId7" Type="http://schemas.openxmlformats.org/officeDocument/2006/relationships/font" Target="fonts/font6.odttf" /><Relationship Id="rId8" Type="http://schemas.openxmlformats.org/officeDocument/2006/relationships/font" Target="fonts/font7.odttf" /><Relationship Id="rId9" Type="http://schemas.openxmlformats.org/officeDocument/2006/relationships/font" Target="fonts/font8.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

<file path=customXml/itemProps1.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Normal.dot</Template>
  <Pages>34</Pages>
  <Words>2179</Words>
  <Characters>9250</Characters>
  <Application>WPS Office_12.1.0.28043_F1E327BC-269C-435d-A152-05C5408002CA</Application>
  <DocSecurity>0</DocSecurity>
  <Lines>60</Lines>
  <Paragraphs>16</Paragraphs>
  <ScaleCrop>false</ScaleCrop>
  <Company>Microsoft</Company>
  <LinksUpToDate>false</LinksUpToDate>
  <CharactersWithSpaces>9455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附件1</dc:title>
  <dc:creator>Administrator</dc:creator>
  <cp:lastModifiedBy>听鸣</cp:lastModifiedBy>
  <cp:revision>1</cp:revision>
  <cp:lastPrinted>2025-06-25T07:52:17Z</cp:lastPrinted>
  <dcterms:created xsi:type="dcterms:W3CDTF">2019-07-27T18:37:00Z</dcterms:created>
  <dcterms:modified xsi:type="dcterms:W3CDTF">2026-08-24T02:43:28Z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2052-12.1.0.28043</vt:lpwstr>
  </property>
  <property fmtid="{D5CDD505-2E9C-101B-9397-08002B2CF9AE}" pid="3" name="ICV">
    <vt:lpwstr>E151D0DB37EA4C6BB556C7F4BC7BE980_13</vt:lpwstr>
  </property>
  <property fmtid="{D5CDD505-2E9C-101B-9397-08002B2CF9AE}" pid="4" name="KSOTemplateDocerSaveRecord">
    <vt:lpwstr>eyJoZGlkIjoiMGMwOGFkMDkyMGVjOWVjMzc0YjBmOTUwNDI2MGMxYmMiLCJ1c2VySWQiOiI4ODc2NjQ3MTcifQ_x003D__x003D_</vt:lpwstr>
  </property>
</Properties>
</file>